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A9D" w:rsidRPr="0074252E" w:rsidRDefault="00CB14C6" w:rsidP="00B75C2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52E">
        <w:rPr>
          <w:rFonts w:ascii="Times New Roman" w:hAnsi="Times New Roman" w:cs="Times New Roman"/>
          <w:b/>
          <w:sz w:val="28"/>
          <w:szCs w:val="28"/>
        </w:rPr>
        <w:t>Результаты м</w:t>
      </w:r>
      <w:r w:rsidR="00960CED" w:rsidRPr="0074252E">
        <w:rPr>
          <w:rFonts w:ascii="Times New Roman" w:hAnsi="Times New Roman" w:cs="Times New Roman"/>
          <w:b/>
          <w:sz w:val="28"/>
          <w:szCs w:val="28"/>
        </w:rPr>
        <w:t>ониторинг</w:t>
      </w:r>
      <w:r w:rsidRPr="0074252E">
        <w:rPr>
          <w:rFonts w:ascii="Times New Roman" w:hAnsi="Times New Roman" w:cs="Times New Roman"/>
          <w:b/>
          <w:sz w:val="28"/>
          <w:szCs w:val="28"/>
        </w:rPr>
        <w:t>а</w:t>
      </w:r>
      <w:r w:rsidR="00960CED" w:rsidRPr="0074252E">
        <w:rPr>
          <w:rFonts w:ascii="Times New Roman" w:hAnsi="Times New Roman" w:cs="Times New Roman"/>
          <w:b/>
          <w:sz w:val="28"/>
          <w:szCs w:val="28"/>
        </w:rPr>
        <w:t xml:space="preserve"> информации, представл</w:t>
      </w:r>
      <w:r w:rsidR="003F52BC" w:rsidRPr="0074252E">
        <w:rPr>
          <w:rFonts w:ascii="Times New Roman" w:hAnsi="Times New Roman" w:cs="Times New Roman"/>
          <w:b/>
          <w:sz w:val="28"/>
          <w:szCs w:val="28"/>
        </w:rPr>
        <w:t>енн</w:t>
      </w:r>
      <w:r w:rsidR="00960CED" w:rsidRPr="0074252E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946B50" w:rsidRPr="0074252E">
        <w:rPr>
          <w:rFonts w:ascii="Times New Roman" w:hAnsi="Times New Roman" w:cs="Times New Roman"/>
          <w:b/>
          <w:sz w:val="28"/>
          <w:szCs w:val="28"/>
        </w:rPr>
        <w:t>в подсистем</w:t>
      </w:r>
      <w:r w:rsidR="00D71BAD" w:rsidRPr="0074252E">
        <w:rPr>
          <w:rFonts w:ascii="Times New Roman" w:hAnsi="Times New Roman" w:cs="Times New Roman"/>
          <w:b/>
          <w:sz w:val="28"/>
          <w:szCs w:val="28"/>
        </w:rPr>
        <w:t>у</w:t>
      </w:r>
      <w:r w:rsidR="00946B50" w:rsidRPr="0074252E">
        <w:rPr>
          <w:rFonts w:ascii="Times New Roman" w:hAnsi="Times New Roman" w:cs="Times New Roman"/>
          <w:b/>
          <w:sz w:val="28"/>
          <w:szCs w:val="28"/>
        </w:rPr>
        <w:t xml:space="preserve"> «Учет и отчётность» государственной интегрированной информационной системы управления общественными финансами «Электронный бюджет»</w:t>
      </w:r>
    </w:p>
    <w:p w:rsidR="00BC5114" w:rsidRPr="0074252E" w:rsidRDefault="00CE06DA" w:rsidP="00B2012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4252E">
        <w:rPr>
          <w:rFonts w:ascii="Times New Roman" w:hAnsi="Times New Roman" w:cs="Times New Roman"/>
          <w:b/>
          <w:sz w:val="28"/>
          <w:szCs w:val="28"/>
        </w:rPr>
        <w:t>в 1 квартале 2018 года</w:t>
      </w:r>
    </w:p>
    <w:p w:rsidR="00DE6E2C" w:rsidRDefault="00DE6E2C" w:rsidP="00B2012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7D5" w:rsidRPr="00113212" w:rsidRDefault="00B75C20" w:rsidP="00447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21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607D5" w:rsidRPr="00113212">
        <w:rPr>
          <w:rFonts w:ascii="Times New Roman" w:hAnsi="Times New Roman" w:cs="Times New Roman"/>
          <w:b/>
          <w:sz w:val="28"/>
          <w:szCs w:val="28"/>
        </w:rPr>
        <w:t>Перечень субъектов мониторинга бюджетной (бухгалтерской) отчетности</w:t>
      </w:r>
      <w:r w:rsidR="00F21648" w:rsidRPr="001132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78F8" w:rsidRDefault="004478F8" w:rsidP="00447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38B" w:rsidRDefault="00A8038B" w:rsidP="006875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94573">
        <w:rPr>
          <w:rFonts w:ascii="Times New Roman" w:hAnsi="Times New Roman" w:cs="Times New Roman"/>
          <w:sz w:val="28"/>
          <w:szCs w:val="28"/>
        </w:rPr>
        <w:t xml:space="preserve"> подсистему «Учет и отчетность»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системы управления общественными финансами «Электронный бюджет»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ГИИС «Электронный бюджет») </w:t>
      </w:r>
      <w:r w:rsidR="00B274FF">
        <w:rPr>
          <w:rFonts w:ascii="Times New Roman" w:hAnsi="Times New Roman" w:cs="Times New Roman"/>
          <w:sz w:val="28"/>
          <w:szCs w:val="28"/>
        </w:rPr>
        <w:t>в 1</w:t>
      </w:r>
      <w:r w:rsidR="007563CE">
        <w:rPr>
          <w:rFonts w:ascii="Times New Roman" w:hAnsi="Times New Roman" w:cs="Times New Roman"/>
          <w:sz w:val="28"/>
          <w:szCs w:val="28"/>
        </w:rPr>
        <w:t> </w:t>
      </w:r>
      <w:r w:rsidR="00B274FF">
        <w:rPr>
          <w:rFonts w:ascii="Times New Roman" w:hAnsi="Times New Roman" w:cs="Times New Roman"/>
          <w:sz w:val="28"/>
          <w:szCs w:val="28"/>
        </w:rPr>
        <w:t xml:space="preserve">квартале 2018 года </w:t>
      </w:r>
      <w:r>
        <w:rPr>
          <w:rFonts w:ascii="Times New Roman" w:hAnsi="Times New Roman" w:cs="Times New Roman"/>
          <w:sz w:val="28"/>
          <w:szCs w:val="28"/>
        </w:rPr>
        <w:t>представ</w:t>
      </w:r>
      <w:r w:rsidR="00B274FF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информацию 107 субъектов </w:t>
      </w:r>
      <w:r w:rsidR="00EF05AE">
        <w:rPr>
          <w:rFonts w:ascii="Times New Roman" w:hAnsi="Times New Roman" w:cs="Times New Roman"/>
          <w:sz w:val="28"/>
          <w:szCs w:val="28"/>
        </w:rPr>
        <w:t>мониторинга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tbl>
      <w:tblPr>
        <w:tblStyle w:val="a6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701"/>
        <w:gridCol w:w="2410"/>
        <w:gridCol w:w="1984"/>
      </w:tblGrid>
      <w:tr w:rsidR="00442FAD" w:rsidTr="002841BA">
        <w:tc>
          <w:tcPr>
            <w:tcW w:w="567" w:type="dxa"/>
            <w:shd w:val="clear" w:color="auto" w:fill="FBE4D5" w:themeFill="accent2" w:themeFillTint="33"/>
          </w:tcPr>
          <w:p w:rsidR="00442FAD" w:rsidRPr="00687570" w:rsidRDefault="00442FAD" w:rsidP="00096D7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442FAD" w:rsidRPr="00687570" w:rsidRDefault="00442FAD" w:rsidP="00096D7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Код типа субъекта мониторинга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442FAD" w:rsidRPr="00687570" w:rsidRDefault="00442FAD" w:rsidP="00096D7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6002B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-в</w:t>
            </w: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proofErr w:type="spellStart"/>
            <w:proofErr w:type="gramStart"/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</w:t>
            </w:r>
            <w:r w:rsidR="002841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ций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FBE4D5" w:themeFill="accent2" w:themeFillTint="33"/>
          </w:tcPr>
          <w:p w:rsidR="002841BA" w:rsidRDefault="00442FAD" w:rsidP="00096D7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от общего </w:t>
            </w:r>
          </w:p>
          <w:p w:rsidR="00442FAD" w:rsidRPr="00687570" w:rsidRDefault="00366B85" w:rsidP="00366B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841BA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:rsidR="00442FAD" w:rsidRPr="00687570" w:rsidRDefault="006002BD" w:rsidP="002841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366B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841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о организаций, представляющи</w:t>
            </w:r>
            <w:r w:rsidR="00366B8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  <w:p w:rsidR="00442FAD" w:rsidRPr="00687570" w:rsidRDefault="006002BD" w:rsidP="002841B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Сводные</w:t>
            </w:r>
            <w:r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отчеты»</w:t>
            </w:r>
          </w:p>
        </w:tc>
        <w:tc>
          <w:tcPr>
            <w:tcW w:w="1984" w:type="dxa"/>
            <w:shd w:val="clear" w:color="auto" w:fill="FBE4D5" w:themeFill="accent2" w:themeFillTint="33"/>
          </w:tcPr>
          <w:p w:rsidR="00442FAD" w:rsidRPr="00687570" w:rsidRDefault="00366B85" w:rsidP="00366B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омплект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</w:t>
            </w:r>
            <w:r w:rsidR="007563CE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  <w:proofErr w:type="gramEnd"/>
            <w:r w:rsidR="00442FAD" w:rsidRPr="00687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отчетности</w:t>
            </w:r>
          </w:p>
        </w:tc>
      </w:tr>
      <w:tr w:rsidR="00442FAD" w:rsidTr="002841BA">
        <w:tc>
          <w:tcPr>
            <w:tcW w:w="567" w:type="dxa"/>
          </w:tcPr>
          <w:p w:rsidR="00442FAD" w:rsidRPr="00687570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5E193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442FAD" w:rsidRPr="00366B85" w:rsidRDefault="006714C9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442FAD" w:rsidRPr="00366B85" w:rsidRDefault="00366B85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FAD" w:rsidRPr="00366B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442FAD" w:rsidRPr="00366B85" w:rsidRDefault="003D392B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442FAD" w:rsidRPr="003E2EB2" w:rsidRDefault="00DA481E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E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2FAD" w:rsidTr="002841BA">
        <w:tc>
          <w:tcPr>
            <w:tcW w:w="567" w:type="dxa"/>
          </w:tcPr>
          <w:p w:rsidR="00442FAD" w:rsidRPr="00687570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РБС</w:t>
            </w:r>
          </w:p>
        </w:tc>
        <w:tc>
          <w:tcPr>
            <w:tcW w:w="1276" w:type="dxa"/>
          </w:tcPr>
          <w:p w:rsidR="00442FAD" w:rsidRPr="00366B85" w:rsidRDefault="001D4D8F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42FAD" w:rsidRPr="00366B85" w:rsidRDefault="00366B85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2FAD" w:rsidRPr="00366B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442FAD" w:rsidRPr="003E2EB2" w:rsidRDefault="001D4D8F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2FAD" w:rsidTr="002841BA">
        <w:tc>
          <w:tcPr>
            <w:tcW w:w="567" w:type="dxa"/>
          </w:tcPr>
          <w:p w:rsidR="00442FAD" w:rsidRPr="00687570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ПБС</w:t>
            </w:r>
          </w:p>
        </w:tc>
        <w:tc>
          <w:tcPr>
            <w:tcW w:w="1276" w:type="dxa"/>
          </w:tcPr>
          <w:p w:rsidR="00442FAD" w:rsidRPr="00366B85" w:rsidRDefault="00366B85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442FAD" w:rsidRPr="00366B85" w:rsidRDefault="00DA481E" w:rsidP="00366B85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6B85" w:rsidRPr="00366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2FAD" w:rsidRPr="00366B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442FAD" w:rsidRPr="00366B85" w:rsidRDefault="0060453E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442FAD" w:rsidRPr="003E2EB2" w:rsidRDefault="00DA481E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EB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442FAD" w:rsidTr="002841BA">
        <w:tc>
          <w:tcPr>
            <w:tcW w:w="567" w:type="dxa"/>
          </w:tcPr>
          <w:p w:rsidR="00442FAD" w:rsidRPr="00687570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АУБУ</w:t>
            </w:r>
          </w:p>
        </w:tc>
        <w:tc>
          <w:tcPr>
            <w:tcW w:w="1276" w:type="dxa"/>
          </w:tcPr>
          <w:p w:rsidR="00442FAD" w:rsidRPr="00366B85" w:rsidRDefault="006714C9" w:rsidP="00366B85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66B85" w:rsidRPr="00366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42FAD" w:rsidRPr="00366B85" w:rsidRDefault="00DA481E" w:rsidP="00366B85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6B85" w:rsidRPr="00366B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42FAD" w:rsidRPr="00366B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442FAD" w:rsidRPr="00366B85" w:rsidRDefault="001D4D8F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D4D8F" w:rsidRPr="003E2EB2" w:rsidRDefault="00DA481E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4D8F" w:rsidRPr="003E2E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2FAD" w:rsidRPr="000835E4" w:rsidTr="002841BA">
        <w:tc>
          <w:tcPr>
            <w:tcW w:w="2268" w:type="dxa"/>
            <w:gridSpan w:val="2"/>
            <w:shd w:val="clear" w:color="auto" w:fill="FBE4D5" w:themeFill="accent2" w:themeFillTint="33"/>
          </w:tcPr>
          <w:p w:rsidR="00442FAD" w:rsidRPr="00366B85" w:rsidRDefault="00442FAD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442FAD" w:rsidRPr="00366B85" w:rsidRDefault="00DA481E" w:rsidP="00366B85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66B85"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6A31BF"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442FAD" w:rsidRPr="00366B85" w:rsidRDefault="00195FE2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:rsidR="00442FAD" w:rsidRPr="00366B85" w:rsidRDefault="001D4D8F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FBE4D5" w:themeFill="accent2" w:themeFillTint="33"/>
          </w:tcPr>
          <w:p w:rsidR="00442FAD" w:rsidRPr="003E2EB2" w:rsidRDefault="000749EE" w:rsidP="00096D7C">
            <w:pPr>
              <w:widowControl w:val="0"/>
              <w:spacing w:before="120" w:after="1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B2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</w:tr>
    </w:tbl>
    <w:p w:rsidR="00F20F69" w:rsidRPr="00BC5114" w:rsidRDefault="00F20F69" w:rsidP="00096D7C">
      <w:pPr>
        <w:contextualSpacing/>
        <w:rPr>
          <w:rFonts w:ascii="Times New Roman" w:hAnsi="Times New Roman" w:cs="Times New Roman"/>
          <w:b/>
          <w:sz w:val="4"/>
          <w:szCs w:val="28"/>
        </w:rPr>
      </w:pPr>
    </w:p>
    <w:p w:rsidR="00DE6E2C" w:rsidRDefault="00DE6E2C" w:rsidP="00B75C20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E168B" w:rsidRDefault="00144741" w:rsidP="007563CE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E41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E508B8" wp14:editId="2F8C5535">
            <wp:extent cx="5181600" cy="364998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A25B9" w:rsidRDefault="00B75C20" w:rsidP="004478F8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AA25B9" w:rsidRPr="00CF7841">
        <w:rPr>
          <w:rFonts w:ascii="Times New Roman" w:hAnsi="Times New Roman" w:cs="Times New Roman"/>
          <w:b/>
          <w:sz w:val="28"/>
          <w:szCs w:val="28"/>
        </w:rPr>
        <w:t>Своевременность представления</w:t>
      </w:r>
      <w:r w:rsidR="00015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19A">
        <w:rPr>
          <w:rFonts w:ascii="Times New Roman" w:hAnsi="Times New Roman" w:cs="Times New Roman"/>
          <w:b/>
          <w:sz w:val="28"/>
          <w:szCs w:val="28"/>
        </w:rPr>
        <w:t xml:space="preserve">комплектов </w:t>
      </w:r>
      <w:r w:rsidR="00015E3C" w:rsidRPr="00015E3C">
        <w:rPr>
          <w:rFonts w:ascii="Times New Roman" w:hAnsi="Times New Roman" w:cs="Times New Roman"/>
          <w:b/>
          <w:sz w:val="28"/>
          <w:szCs w:val="28"/>
        </w:rPr>
        <w:t>бюджетной (бухгалтерской) отчетности</w:t>
      </w:r>
    </w:p>
    <w:p w:rsidR="004478F8" w:rsidRDefault="004478F8" w:rsidP="004478F8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C20" w:rsidRPr="000F26DE" w:rsidRDefault="000F26DE" w:rsidP="004478F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6DE">
        <w:rPr>
          <w:rFonts w:ascii="Times New Roman" w:hAnsi="Times New Roman" w:cs="Times New Roman"/>
          <w:sz w:val="28"/>
          <w:szCs w:val="28"/>
        </w:rPr>
        <w:t>Субъектами</w:t>
      </w:r>
      <w:r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Pr="000F26DE">
        <w:rPr>
          <w:rFonts w:ascii="Times New Roman" w:hAnsi="Times New Roman" w:cs="Times New Roman"/>
          <w:sz w:val="28"/>
          <w:szCs w:val="28"/>
        </w:rPr>
        <w:t xml:space="preserve"> бюджетной (бухгалтерской) отчетности</w:t>
      </w:r>
      <w:r w:rsidR="006A0D6D">
        <w:rPr>
          <w:rFonts w:ascii="Times New Roman" w:hAnsi="Times New Roman" w:cs="Times New Roman"/>
          <w:sz w:val="28"/>
          <w:szCs w:val="28"/>
        </w:rPr>
        <w:t xml:space="preserve"> (далее – Отчетность)</w:t>
      </w:r>
      <w:r w:rsidRPr="000F2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F26DE">
        <w:rPr>
          <w:rFonts w:ascii="Times New Roman" w:hAnsi="Times New Roman" w:cs="Times New Roman"/>
          <w:sz w:val="28"/>
          <w:szCs w:val="28"/>
        </w:rPr>
        <w:t>ПУиО</w:t>
      </w:r>
      <w:proofErr w:type="spellEnd"/>
      <w:r w:rsidRPr="000F26DE">
        <w:rPr>
          <w:rFonts w:ascii="Times New Roman" w:hAnsi="Times New Roman" w:cs="Times New Roman"/>
          <w:sz w:val="28"/>
          <w:szCs w:val="28"/>
        </w:rPr>
        <w:t xml:space="preserve"> ГИИС «Электронный бюджет»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648">
        <w:rPr>
          <w:rFonts w:ascii="Times New Roman" w:hAnsi="Times New Roman" w:cs="Times New Roman"/>
          <w:sz w:val="28"/>
          <w:szCs w:val="28"/>
        </w:rPr>
        <w:t xml:space="preserve">в 1 квартале 2018 года </w:t>
      </w:r>
      <w:r>
        <w:rPr>
          <w:rFonts w:ascii="Times New Roman" w:hAnsi="Times New Roman" w:cs="Times New Roman"/>
          <w:sz w:val="28"/>
          <w:szCs w:val="28"/>
        </w:rPr>
        <w:t xml:space="preserve">представлен </w:t>
      </w:r>
      <w:r w:rsidR="006A0D6D">
        <w:rPr>
          <w:rFonts w:ascii="Times New Roman" w:hAnsi="Times New Roman" w:cs="Times New Roman"/>
          <w:sz w:val="28"/>
          <w:szCs w:val="28"/>
        </w:rPr>
        <w:t>в полном объеме 12</w:t>
      </w:r>
      <w:r w:rsidR="003E2EB2">
        <w:rPr>
          <w:rFonts w:ascii="Times New Roman" w:hAnsi="Times New Roman" w:cs="Times New Roman"/>
          <w:sz w:val="28"/>
          <w:szCs w:val="28"/>
        </w:rPr>
        <w:t>1</w:t>
      </w:r>
      <w:r w:rsidR="006A0D6D">
        <w:rPr>
          <w:rFonts w:ascii="Times New Roman" w:hAnsi="Times New Roman" w:cs="Times New Roman"/>
          <w:sz w:val="28"/>
          <w:szCs w:val="28"/>
        </w:rPr>
        <w:t xml:space="preserve"> комплект О</w:t>
      </w:r>
      <w:r>
        <w:rPr>
          <w:rFonts w:ascii="Times New Roman" w:hAnsi="Times New Roman" w:cs="Times New Roman"/>
          <w:sz w:val="28"/>
          <w:szCs w:val="28"/>
        </w:rPr>
        <w:t>тчетности, в том числе:</w:t>
      </w:r>
      <w:r w:rsidRPr="000F2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5CF" w:rsidRDefault="00380B86" w:rsidP="00F72D6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AE5E3D">
        <w:rPr>
          <w:rFonts w:ascii="Times New Roman" w:hAnsi="Times New Roman" w:cs="Times New Roman"/>
          <w:sz w:val="28"/>
          <w:szCs w:val="28"/>
        </w:rPr>
        <w:t>10</w:t>
      </w:r>
      <w:r w:rsidR="006A0D6D">
        <w:rPr>
          <w:rFonts w:ascii="Times New Roman" w:hAnsi="Times New Roman" w:cs="Times New Roman"/>
          <w:sz w:val="28"/>
          <w:szCs w:val="28"/>
        </w:rPr>
        <w:t xml:space="preserve"> комплектов О</w:t>
      </w:r>
      <w:r w:rsidR="004C25CF">
        <w:rPr>
          <w:rFonts w:ascii="Times New Roman" w:hAnsi="Times New Roman" w:cs="Times New Roman"/>
          <w:sz w:val="28"/>
          <w:szCs w:val="28"/>
        </w:rPr>
        <w:t xml:space="preserve">тчетности </w:t>
      </w:r>
      <w:r w:rsidR="00BF6EA2">
        <w:rPr>
          <w:rFonts w:ascii="Times New Roman" w:hAnsi="Times New Roman" w:cs="Times New Roman"/>
          <w:sz w:val="28"/>
          <w:szCs w:val="28"/>
        </w:rPr>
        <w:t>-</w:t>
      </w:r>
      <w:r w:rsidR="004C25CF">
        <w:rPr>
          <w:rFonts w:ascii="Times New Roman" w:hAnsi="Times New Roman" w:cs="Times New Roman"/>
          <w:sz w:val="28"/>
          <w:szCs w:val="28"/>
        </w:rPr>
        <w:t xml:space="preserve"> в установленный срок; </w:t>
      </w:r>
    </w:p>
    <w:p w:rsidR="00AA25B9" w:rsidRDefault="004C25CF" w:rsidP="00F72D6B">
      <w:pPr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0B86">
        <w:rPr>
          <w:rFonts w:ascii="Times New Roman" w:hAnsi="Times New Roman" w:cs="Times New Roman"/>
          <w:sz w:val="28"/>
          <w:szCs w:val="28"/>
        </w:rPr>
        <w:t>1</w:t>
      </w:r>
      <w:r w:rsidR="003E2EB2">
        <w:rPr>
          <w:rFonts w:ascii="Times New Roman" w:hAnsi="Times New Roman" w:cs="Times New Roman"/>
          <w:sz w:val="28"/>
          <w:szCs w:val="28"/>
        </w:rPr>
        <w:t>1</w:t>
      </w:r>
      <w:r w:rsidR="006A0D6D">
        <w:rPr>
          <w:rFonts w:ascii="Times New Roman" w:hAnsi="Times New Roman" w:cs="Times New Roman"/>
          <w:sz w:val="28"/>
          <w:szCs w:val="28"/>
        </w:rPr>
        <w:t xml:space="preserve"> комплектов О</w:t>
      </w:r>
      <w:r w:rsidR="00ED3395">
        <w:rPr>
          <w:rFonts w:ascii="Times New Roman" w:hAnsi="Times New Roman" w:cs="Times New Roman"/>
          <w:sz w:val="28"/>
          <w:szCs w:val="28"/>
        </w:rPr>
        <w:t xml:space="preserve">тчетности </w:t>
      </w:r>
      <w:r w:rsidR="00BF6EA2">
        <w:rPr>
          <w:rFonts w:ascii="Times New Roman" w:hAnsi="Times New Roman" w:cs="Times New Roman"/>
          <w:sz w:val="28"/>
          <w:szCs w:val="28"/>
        </w:rPr>
        <w:t>-</w:t>
      </w:r>
      <w:r w:rsidR="00ED3395">
        <w:rPr>
          <w:rFonts w:ascii="Times New Roman" w:hAnsi="Times New Roman" w:cs="Times New Roman"/>
          <w:sz w:val="28"/>
          <w:szCs w:val="28"/>
        </w:rPr>
        <w:t xml:space="preserve"> позже </w:t>
      </w:r>
      <w:r w:rsidR="00D90FE6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 w:rsidR="00ED3395">
        <w:rPr>
          <w:rFonts w:ascii="Times New Roman" w:hAnsi="Times New Roman" w:cs="Times New Roman"/>
          <w:sz w:val="28"/>
          <w:szCs w:val="28"/>
        </w:rPr>
        <w:t>срока</w:t>
      </w:r>
      <w:r w:rsidR="00BF6EA2">
        <w:rPr>
          <w:rFonts w:ascii="Times New Roman" w:hAnsi="Times New Roman" w:cs="Times New Roman"/>
          <w:sz w:val="28"/>
          <w:szCs w:val="28"/>
        </w:rPr>
        <w:t>.</w:t>
      </w:r>
    </w:p>
    <w:p w:rsidR="00D112AE" w:rsidRDefault="00D112AE" w:rsidP="00D112AE">
      <w:pPr>
        <w:spacing w:after="12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349813" wp14:editId="5DBAFB13">
            <wp:extent cx="6057900" cy="3329940"/>
            <wp:effectExtent l="0" t="0" r="0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6BD1" w:rsidRDefault="002323BD" w:rsidP="009F0AF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Несвоевременно</w:t>
      </w:r>
      <w:r w:rsidR="00BA67B9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BA67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CDC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551EB4">
        <w:rPr>
          <w:rFonts w:ascii="Times New Roman" w:hAnsi="Times New Roman" w:cs="Times New Roman"/>
          <w:sz w:val="28"/>
          <w:szCs w:val="28"/>
        </w:rPr>
        <w:t xml:space="preserve">субъектами мониторинга </w:t>
      </w:r>
      <w:r w:rsidR="00106BD1">
        <w:rPr>
          <w:rFonts w:ascii="Times New Roman" w:hAnsi="Times New Roman" w:cs="Times New Roman"/>
          <w:sz w:val="28"/>
          <w:szCs w:val="28"/>
        </w:rPr>
        <w:t>обусловлена:</w:t>
      </w:r>
    </w:p>
    <w:p w:rsidR="009E4437" w:rsidRDefault="00106BD1" w:rsidP="009F0AF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6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повторным представлением </w:t>
      </w:r>
      <w:r w:rsidR="00944814" w:rsidRPr="00834554">
        <w:rPr>
          <w:rFonts w:ascii="Times New Roman" w:hAnsi="Times New Roman" w:cs="Times New Roman"/>
          <w:sz w:val="28"/>
          <w:szCs w:val="28"/>
        </w:rPr>
        <w:t xml:space="preserve">форм Отчетности </w:t>
      </w:r>
      <w:r w:rsidR="00F5537D" w:rsidRPr="00834554">
        <w:rPr>
          <w:rFonts w:ascii="Times New Roman" w:hAnsi="Times New Roman" w:cs="Times New Roman"/>
          <w:sz w:val="28"/>
          <w:szCs w:val="28"/>
        </w:rPr>
        <w:t xml:space="preserve">с более поздней датой представления </w:t>
      </w:r>
      <w:r w:rsidR="009E4437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3A6321">
        <w:rPr>
          <w:rFonts w:ascii="Times New Roman" w:hAnsi="Times New Roman" w:cs="Times New Roman"/>
          <w:sz w:val="28"/>
          <w:szCs w:val="28"/>
        </w:rPr>
        <w:t xml:space="preserve">с </w:t>
      </w:r>
      <w:r w:rsidR="005503CE">
        <w:rPr>
          <w:rFonts w:ascii="Times New Roman" w:hAnsi="Times New Roman" w:cs="Times New Roman"/>
          <w:sz w:val="28"/>
          <w:szCs w:val="28"/>
        </w:rPr>
        <w:t xml:space="preserve">их </w:t>
      </w:r>
      <w:r w:rsidR="003A6321">
        <w:rPr>
          <w:rFonts w:ascii="Times New Roman" w:hAnsi="Times New Roman" w:cs="Times New Roman"/>
          <w:sz w:val="28"/>
          <w:szCs w:val="28"/>
        </w:rPr>
        <w:t xml:space="preserve">отменой </w:t>
      </w:r>
      <w:r w:rsidR="008D22FC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(далее – </w:t>
      </w:r>
      <w:r w:rsidR="00BA67B9">
        <w:rPr>
          <w:rFonts w:ascii="Times New Roman" w:hAnsi="Times New Roman" w:cs="Times New Roman"/>
          <w:sz w:val="28"/>
          <w:szCs w:val="28"/>
        </w:rPr>
        <w:t>ГРБС</w:t>
      </w:r>
      <w:r w:rsidR="008D22FC">
        <w:rPr>
          <w:rFonts w:ascii="Times New Roman" w:hAnsi="Times New Roman" w:cs="Times New Roman"/>
          <w:sz w:val="28"/>
          <w:szCs w:val="28"/>
        </w:rPr>
        <w:t>)</w:t>
      </w:r>
      <w:r w:rsidR="00BA67B9">
        <w:rPr>
          <w:rFonts w:ascii="Times New Roman" w:hAnsi="Times New Roman" w:cs="Times New Roman"/>
          <w:sz w:val="28"/>
          <w:szCs w:val="28"/>
        </w:rPr>
        <w:t xml:space="preserve"> по причине некорректного составления</w:t>
      </w:r>
      <w:r w:rsidR="001661E1">
        <w:rPr>
          <w:rFonts w:ascii="Times New Roman" w:hAnsi="Times New Roman" w:cs="Times New Roman"/>
          <w:sz w:val="28"/>
          <w:szCs w:val="28"/>
        </w:rPr>
        <w:t>;</w:t>
      </w:r>
      <w:r w:rsidR="000A1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437" w:rsidRDefault="001661E1" w:rsidP="009B45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4554">
        <w:rPr>
          <w:rFonts w:ascii="Times New Roman" w:hAnsi="Times New Roman" w:cs="Times New Roman"/>
          <w:sz w:val="28"/>
          <w:szCs w:val="28"/>
        </w:rPr>
        <w:t xml:space="preserve">отсутствием </w:t>
      </w:r>
      <w:r>
        <w:rPr>
          <w:rFonts w:ascii="Times New Roman" w:hAnsi="Times New Roman" w:cs="Times New Roman"/>
          <w:sz w:val="28"/>
          <w:szCs w:val="28"/>
        </w:rPr>
        <w:t>указаний</w:t>
      </w:r>
      <w:r w:rsidRPr="00834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834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относительно</w:t>
      </w:r>
      <w:r w:rsidRPr="00834554">
        <w:rPr>
          <w:rFonts w:ascii="Times New Roman" w:hAnsi="Times New Roman" w:cs="Times New Roman"/>
          <w:sz w:val="28"/>
          <w:szCs w:val="28"/>
        </w:rPr>
        <w:t xml:space="preserve"> </w:t>
      </w:r>
      <w:r w:rsidR="00610565">
        <w:rPr>
          <w:rFonts w:ascii="Times New Roman" w:hAnsi="Times New Roman" w:cs="Times New Roman"/>
          <w:sz w:val="28"/>
          <w:szCs w:val="28"/>
        </w:rPr>
        <w:t>своевременной</w:t>
      </w:r>
      <w:r w:rsidR="00610565" w:rsidRPr="00834554">
        <w:rPr>
          <w:rFonts w:ascii="Times New Roman" w:hAnsi="Times New Roman" w:cs="Times New Roman"/>
          <w:sz w:val="28"/>
          <w:szCs w:val="28"/>
        </w:rPr>
        <w:t xml:space="preserve"> </w:t>
      </w:r>
      <w:r w:rsidRPr="00834554">
        <w:rPr>
          <w:rFonts w:ascii="Times New Roman" w:hAnsi="Times New Roman" w:cs="Times New Roman"/>
          <w:sz w:val="28"/>
          <w:szCs w:val="28"/>
        </w:rPr>
        <w:t>выгрузк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4554">
        <w:rPr>
          <w:rFonts w:ascii="Times New Roman" w:hAnsi="Times New Roman" w:cs="Times New Roman"/>
          <w:sz w:val="28"/>
          <w:szCs w:val="28"/>
        </w:rPr>
        <w:t xml:space="preserve"> </w:t>
      </w:r>
      <w:r w:rsidR="00860B13">
        <w:rPr>
          <w:rFonts w:ascii="Times New Roman" w:hAnsi="Times New Roman" w:cs="Times New Roman"/>
          <w:sz w:val="28"/>
          <w:szCs w:val="28"/>
        </w:rPr>
        <w:t xml:space="preserve">субъектами мониторинга </w:t>
      </w:r>
      <w:r w:rsidRPr="00834554">
        <w:rPr>
          <w:rFonts w:ascii="Times New Roman" w:hAnsi="Times New Roman" w:cs="Times New Roman"/>
          <w:sz w:val="28"/>
          <w:szCs w:val="28"/>
        </w:rPr>
        <w:t xml:space="preserve">Отчетности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ГИИС «Электронный бюджет»</w:t>
      </w:r>
      <w:r w:rsidR="00610565">
        <w:rPr>
          <w:rFonts w:ascii="Times New Roman" w:hAnsi="Times New Roman" w:cs="Times New Roman"/>
          <w:sz w:val="28"/>
          <w:szCs w:val="28"/>
        </w:rPr>
        <w:t xml:space="preserve"> до окончательной ее проверки</w:t>
      </w:r>
      <w:r w:rsidR="005D3227">
        <w:rPr>
          <w:rFonts w:ascii="Times New Roman" w:hAnsi="Times New Roman" w:cs="Times New Roman"/>
          <w:sz w:val="28"/>
          <w:szCs w:val="28"/>
        </w:rPr>
        <w:t>.</w:t>
      </w:r>
    </w:p>
    <w:p w:rsidR="001C326B" w:rsidRDefault="00EB2A93" w:rsidP="009B45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603B" w:rsidRPr="004478F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96D7C" w:rsidRPr="004478F8">
        <w:rPr>
          <w:rFonts w:ascii="Times New Roman" w:hAnsi="Times New Roman" w:cs="Times New Roman"/>
          <w:b/>
          <w:sz w:val="28"/>
          <w:szCs w:val="28"/>
        </w:rPr>
        <w:t>Наличие</w:t>
      </w:r>
      <w:r w:rsidR="001C326B" w:rsidRPr="004478F8">
        <w:rPr>
          <w:rFonts w:ascii="Times New Roman" w:hAnsi="Times New Roman" w:cs="Times New Roman"/>
          <w:b/>
          <w:sz w:val="28"/>
          <w:szCs w:val="28"/>
        </w:rPr>
        <w:t xml:space="preserve"> представленной </w:t>
      </w:r>
      <w:r w:rsidR="00D5603B" w:rsidRPr="004478F8">
        <w:rPr>
          <w:rFonts w:ascii="Times New Roman" w:hAnsi="Times New Roman" w:cs="Times New Roman"/>
          <w:b/>
          <w:sz w:val="28"/>
          <w:szCs w:val="28"/>
        </w:rPr>
        <w:t>О</w:t>
      </w:r>
      <w:r w:rsidR="001C326B" w:rsidRPr="004478F8">
        <w:rPr>
          <w:rFonts w:ascii="Times New Roman" w:hAnsi="Times New Roman" w:cs="Times New Roman"/>
          <w:b/>
          <w:sz w:val="28"/>
          <w:szCs w:val="28"/>
        </w:rPr>
        <w:t>тчетности в конечном статусе</w:t>
      </w:r>
    </w:p>
    <w:p w:rsidR="009B4552" w:rsidRPr="004478F8" w:rsidRDefault="009B4552" w:rsidP="009B45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19A" w:rsidRPr="00763519" w:rsidRDefault="0046619A" w:rsidP="00B807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B2D">
        <w:rPr>
          <w:rFonts w:ascii="Times New Roman" w:hAnsi="Times New Roman" w:cs="Times New Roman"/>
          <w:sz w:val="28"/>
          <w:szCs w:val="28"/>
        </w:rPr>
        <w:t>В</w:t>
      </w:r>
      <w:r w:rsidR="00763519" w:rsidRPr="00D47B2D">
        <w:rPr>
          <w:rFonts w:ascii="Times New Roman" w:hAnsi="Times New Roman" w:cs="Times New Roman"/>
          <w:sz w:val="28"/>
          <w:szCs w:val="28"/>
        </w:rPr>
        <w:t>сего</w:t>
      </w:r>
      <w:r w:rsidR="00763519" w:rsidRPr="00763519">
        <w:rPr>
          <w:rFonts w:ascii="Times New Roman" w:hAnsi="Times New Roman" w:cs="Times New Roman"/>
          <w:sz w:val="28"/>
          <w:szCs w:val="28"/>
        </w:rPr>
        <w:t xml:space="preserve"> в</w:t>
      </w:r>
      <w:r w:rsidRPr="00763519">
        <w:rPr>
          <w:rFonts w:ascii="Times New Roman" w:hAnsi="Times New Roman" w:cs="Times New Roman"/>
          <w:sz w:val="28"/>
          <w:szCs w:val="28"/>
        </w:rPr>
        <w:t xml:space="preserve"> 1 квартале</w:t>
      </w:r>
      <w:r w:rsidR="00763519" w:rsidRPr="00763519">
        <w:rPr>
          <w:rFonts w:ascii="Times New Roman" w:hAnsi="Times New Roman" w:cs="Times New Roman"/>
          <w:sz w:val="28"/>
          <w:szCs w:val="28"/>
        </w:rPr>
        <w:t xml:space="preserve"> 2018 года в </w:t>
      </w:r>
      <w:proofErr w:type="spellStart"/>
      <w:r w:rsidR="00763519" w:rsidRPr="00763519">
        <w:rPr>
          <w:rFonts w:ascii="Times New Roman" w:hAnsi="Times New Roman" w:cs="Times New Roman"/>
          <w:sz w:val="28"/>
          <w:szCs w:val="28"/>
        </w:rPr>
        <w:t>ПУиО</w:t>
      </w:r>
      <w:proofErr w:type="spellEnd"/>
      <w:r w:rsidR="00763519" w:rsidRPr="00763519">
        <w:rPr>
          <w:rFonts w:ascii="Times New Roman" w:hAnsi="Times New Roman" w:cs="Times New Roman"/>
          <w:sz w:val="28"/>
          <w:szCs w:val="28"/>
        </w:rPr>
        <w:t xml:space="preserve"> ГИИС «Электронный бюджет» загружено</w:t>
      </w:r>
      <w:r w:rsidRPr="00763519">
        <w:rPr>
          <w:rFonts w:ascii="Times New Roman" w:hAnsi="Times New Roman" w:cs="Times New Roman"/>
          <w:sz w:val="28"/>
          <w:szCs w:val="28"/>
        </w:rPr>
        <w:t xml:space="preserve"> 2828</w:t>
      </w:r>
      <w:r w:rsidR="00763519" w:rsidRPr="00763519">
        <w:rPr>
          <w:rFonts w:ascii="Times New Roman" w:hAnsi="Times New Roman" w:cs="Times New Roman"/>
          <w:sz w:val="28"/>
          <w:szCs w:val="28"/>
        </w:rPr>
        <w:t xml:space="preserve"> форм Отчетности</w:t>
      </w:r>
      <w:r w:rsidR="00763519">
        <w:rPr>
          <w:rFonts w:ascii="Times New Roman" w:hAnsi="Times New Roman" w:cs="Times New Roman"/>
          <w:sz w:val="28"/>
          <w:szCs w:val="28"/>
        </w:rPr>
        <w:t>, из них:</w:t>
      </w:r>
    </w:p>
    <w:p w:rsidR="0046619A" w:rsidRDefault="0046619A" w:rsidP="009F0AF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- 2791 </w:t>
      </w:r>
      <w:r w:rsidR="00D47B2D">
        <w:rPr>
          <w:rFonts w:ascii="Times New Roman" w:hAnsi="Times New Roman" w:cs="Times New Roman"/>
          <w:sz w:val="28"/>
          <w:szCs w:val="28"/>
        </w:rPr>
        <w:t>форм</w:t>
      </w:r>
      <w:r w:rsidR="00104E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AB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конечном статусе, что составляет 99% от общего числа комплектов отчетности; </w:t>
      </w:r>
    </w:p>
    <w:p w:rsidR="0046619A" w:rsidRDefault="0046619A" w:rsidP="009F0AF2">
      <w:pPr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00BB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7B2D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ABE">
        <w:rPr>
          <w:rFonts w:ascii="Times New Roman" w:hAnsi="Times New Roman" w:cs="Times New Roman"/>
          <w:sz w:val="28"/>
          <w:szCs w:val="28"/>
        </w:rPr>
        <w:t>-</w:t>
      </w:r>
      <w:r w:rsidR="002A00BB">
        <w:rPr>
          <w:rFonts w:ascii="Times New Roman" w:hAnsi="Times New Roman" w:cs="Times New Roman"/>
          <w:sz w:val="28"/>
          <w:szCs w:val="28"/>
        </w:rPr>
        <w:t xml:space="preserve"> не </w:t>
      </w:r>
      <w:r w:rsidR="001852FC">
        <w:rPr>
          <w:rFonts w:ascii="Times New Roman" w:hAnsi="Times New Roman" w:cs="Times New Roman"/>
          <w:sz w:val="28"/>
          <w:szCs w:val="28"/>
        </w:rPr>
        <w:t>доведенных до конечного статуса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2A00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от общего числа комплектов отчетности. </w:t>
      </w:r>
    </w:p>
    <w:p w:rsidR="00583624" w:rsidRDefault="009B4552" w:rsidP="00BF09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4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>отдельны</w:t>
      </w:r>
      <w:r w:rsidR="0024453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</w:t>
      </w:r>
      <w:r w:rsidR="0024453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1B9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мониторинга</w:t>
      </w:r>
      <w:r w:rsidR="0054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C326B"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>подведомственны</w:t>
      </w:r>
      <w:r w:rsidR="0024453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1C326B"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ГРБС</w:t>
      </w:r>
      <w:r w:rsidR="00C93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(главы 074, 082,</w:t>
      </w:r>
      <w:r w:rsidR="00DA4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379F">
        <w:rPr>
          <w:rFonts w:ascii="Times New Roman" w:hAnsi="Times New Roman" w:cs="Times New Roman"/>
          <w:color w:val="000000" w:themeColor="text1"/>
          <w:sz w:val="28"/>
          <w:szCs w:val="28"/>
        </w:rPr>
        <w:t>107</w:t>
      </w:r>
      <w:r w:rsidR="001C326B"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93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109, 177, </w:t>
      </w:r>
      <w:r w:rsidR="00405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182, </w:t>
      </w:r>
      <w:r w:rsidR="00C9379F">
        <w:rPr>
          <w:rFonts w:ascii="Times New Roman" w:hAnsi="Times New Roman" w:cs="Times New Roman"/>
          <w:color w:val="000000" w:themeColor="text1"/>
          <w:sz w:val="28"/>
          <w:szCs w:val="28"/>
        </w:rPr>
        <w:t>318</w:t>
      </w:r>
      <w:r w:rsidR="004056DB">
        <w:rPr>
          <w:rFonts w:ascii="Times New Roman" w:hAnsi="Times New Roman" w:cs="Times New Roman"/>
          <w:color w:val="000000" w:themeColor="text1"/>
          <w:sz w:val="28"/>
          <w:szCs w:val="28"/>
        </w:rPr>
        <w:t>, 320</w:t>
      </w:r>
      <w:r w:rsidR="00C9379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04E7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C326B"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6185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F24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Отчетности</w:t>
      </w:r>
      <w:r w:rsidR="007171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1 квартал 2018 года</w:t>
      </w:r>
      <w:r w:rsidR="00F24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остаются</w:t>
      </w:r>
      <w:r w:rsidR="00E16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326B"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>в статусе «Представлен».</w:t>
      </w:r>
    </w:p>
    <w:p w:rsidR="001C326B" w:rsidRPr="00FA1793" w:rsidRDefault="001C326B" w:rsidP="005836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17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A0AF8" w:rsidRDefault="00E61228" w:rsidP="004478F8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A1A89">
        <w:rPr>
          <w:rFonts w:ascii="Times New Roman" w:hAnsi="Times New Roman" w:cs="Times New Roman"/>
          <w:b/>
          <w:sz w:val="28"/>
          <w:szCs w:val="28"/>
        </w:rPr>
        <w:t>Анализ</w:t>
      </w:r>
      <w:r w:rsidR="00A01703" w:rsidRPr="009528C1">
        <w:rPr>
          <w:rFonts w:ascii="Times New Roman" w:hAnsi="Times New Roman" w:cs="Times New Roman"/>
          <w:b/>
          <w:sz w:val="28"/>
          <w:szCs w:val="28"/>
        </w:rPr>
        <w:t xml:space="preserve"> ошибок, содержащихся в </w:t>
      </w:r>
      <w:r w:rsidR="00AA0AF8">
        <w:rPr>
          <w:rFonts w:ascii="Times New Roman" w:hAnsi="Times New Roman" w:cs="Times New Roman"/>
          <w:b/>
          <w:sz w:val="28"/>
          <w:szCs w:val="28"/>
        </w:rPr>
        <w:t>Отчетности</w:t>
      </w:r>
      <w:r w:rsidR="00015E3C" w:rsidRPr="00015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703" w:rsidRPr="009528C1">
        <w:rPr>
          <w:rFonts w:ascii="Times New Roman" w:hAnsi="Times New Roman" w:cs="Times New Roman"/>
          <w:b/>
          <w:sz w:val="28"/>
          <w:szCs w:val="28"/>
        </w:rPr>
        <w:t>по состоянию</w:t>
      </w:r>
    </w:p>
    <w:p w:rsidR="00884232" w:rsidRDefault="00A01703" w:rsidP="004478F8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8C1">
        <w:rPr>
          <w:rFonts w:ascii="Times New Roman" w:hAnsi="Times New Roman" w:cs="Times New Roman"/>
          <w:b/>
          <w:sz w:val="28"/>
          <w:szCs w:val="28"/>
        </w:rPr>
        <w:t>на 1</w:t>
      </w:r>
      <w:r w:rsidR="008E276E">
        <w:rPr>
          <w:rFonts w:ascii="Times New Roman" w:hAnsi="Times New Roman" w:cs="Times New Roman"/>
          <w:b/>
          <w:sz w:val="28"/>
          <w:szCs w:val="28"/>
        </w:rPr>
        <w:t xml:space="preserve"> апреля </w:t>
      </w:r>
      <w:r w:rsidRPr="009528C1">
        <w:rPr>
          <w:rFonts w:ascii="Times New Roman" w:hAnsi="Times New Roman" w:cs="Times New Roman"/>
          <w:b/>
          <w:sz w:val="28"/>
          <w:szCs w:val="28"/>
        </w:rPr>
        <w:t>201</w:t>
      </w:r>
      <w:r w:rsidR="006F732B">
        <w:rPr>
          <w:rFonts w:ascii="Times New Roman" w:hAnsi="Times New Roman" w:cs="Times New Roman"/>
          <w:b/>
          <w:sz w:val="28"/>
          <w:szCs w:val="28"/>
        </w:rPr>
        <w:t>8</w:t>
      </w:r>
      <w:r w:rsidR="008E276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E57AE" w:rsidRDefault="004E57AE" w:rsidP="004478F8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B81" w:rsidRDefault="004E57AE" w:rsidP="000C1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4E0">
        <w:rPr>
          <w:rFonts w:ascii="Times New Roman" w:hAnsi="Times New Roman" w:cs="Times New Roman"/>
          <w:sz w:val="28"/>
          <w:szCs w:val="28"/>
        </w:rPr>
        <w:t xml:space="preserve">В ходе проведения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="00F3551F">
        <w:rPr>
          <w:rFonts w:ascii="Times New Roman" w:hAnsi="Times New Roman" w:cs="Times New Roman"/>
          <w:sz w:val="28"/>
          <w:szCs w:val="28"/>
        </w:rPr>
        <w:t xml:space="preserve">представленной в </w:t>
      </w:r>
      <w:proofErr w:type="spellStart"/>
      <w:r w:rsidR="00F3551F">
        <w:rPr>
          <w:rFonts w:ascii="Times New Roman" w:hAnsi="Times New Roman" w:cs="Times New Roman"/>
          <w:sz w:val="28"/>
          <w:szCs w:val="28"/>
        </w:rPr>
        <w:t>ПУиО</w:t>
      </w:r>
      <w:proofErr w:type="spellEnd"/>
      <w:r w:rsidR="00F3551F">
        <w:rPr>
          <w:rFonts w:ascii="Times New Roman" w:hAnsi="Times New Roman" w:cs="Times New Roman"/>
          <w:sz w:val="28"/>
          <w:szCs w:val="28"/>
        </w:rPr>
        <w:t xml:space="preserve"> ГИИС «Электронный бюджет»</w:t>
      </w:r>
      <w:r w:rsidR="00262340">
        <w:rPr>
          <w:rFonts w:ascii="Times New Roman" w:hAnsi="Times New Roman" w:cs="Times New Roman"/>
          <w:sz w:val="28"/>
          <w:szCs w:val="28"/>
        </w:rPr>
        <w:t>,</w:t>
      </w:r>
      <w:r w:rsidR="00F3551F">
        <w:rPr>
          <w:rFonts w:ascii="Times New Roman" w:hAnsi="Times New Roman" w:cs="Times New Roman"/>
          <w:sz w:val="28"/>
          <w:szCs w:val="28"/>
        </w:rPr>
        <w:t xml:space="preserve"> </w:t>
      </w:r>
      <w:r w:rsidR="000C16FE">
        <w:rPr>
          <w:rFonts w:ascii="Times New Roman" w:hAnsi="Times New Roman" w:cs="Times New Roman"/>
          <w:sz w:val="28"/>
          <w:szCs w:val="28"/>
        </w:rPr>
        <w:t>выявлен</w:t>
      </w:r>
      <w:r w:rsidR="00000B81">
        <w:rPr>
          <w:rFonts w:ascii="Times New Roman" w:hAnsi="Times New Roman" w:cs="Times New Roman"/>
          <w:sz w:val="28"/>
          <w:szCs w:val="28"/>
        </w:rPr>
        <w:t>ы:</w:t>
      </w:r>
    </w:p>
    <w:p w:rsidR="00000B81" w:rsidRDefault="00000B81" w:rsidP="000C1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6FE" w:rsidRPr="008924E0">
        <w:rPr>
          <w:rFonts w:ascii="Times New Roman" w:hAnsi="Times New Roman" w:cs="Times New Roman"/>
          <w:sz w:val="28"/>
          <w:szCs w:val="28"/>
        </w:rPr>
        <w:t>арифметически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16FE" w:rsidRPr="008924E0">
        <w:rPr>
          <w:rFonts w:ascii="Times New Roman" w:hAnsi="Times New Roman" w:cs="Times New Roman"/>
          <w:sz w:val="28"/>
          <w:szCs w:val="28"/>
        </w:rPr>
        <w:t xml:space="preserve"> и 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16FE" w:rsidRPr="008924E0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000B81">
        <w:rPr>
          <w:rFonts w:ascii="Times New Roman" w:hAnsi="Times New Roman" w:cs="Times New Roman"/>
          <w:sz w:val="28"/>
          <w:szCs w:val="28"/>
        </w:rPr>
        <w:t xml:space="preserve"> </w:t>
      </w:r>
      <w:r w:rsidRPr="008924E0">
        <w:rPr>
          <w:rFonts w:ascii="Times New Roman" w:hAnsi="Times New Roman" w:cs="Times New Roman"/>
          <w:sz w:val="28"/>
          <w:szCs w:val="28"/>
        </w:rPr>
        <w:t>в нарушение тр</w:t>
      </w:r>
      <w:r>
        <w:rPr>
          <w:rFonts w:ascii="Times New Roman" w:hAnsi="Times New Roman" w:cs="Times New Roman"/>
          <w:sz w:val="28"/>
          <w:szCs w:val="28"/>
        </w:rPr>
        <w:t>ебований нормативных документов;</w:t>
      </w:r>
    </w:p>
    <w:p w:rsidR="000C16FE" w:rsidRDefault="00000B81" w:rsidP="000C1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1EB5">
        <w:rPr>
          <w:rFonts w:ascii="Times New Roman" w:hAnsi="Times New Roman" w:cs="Times New Roman"/>
          <w:sz w:val="28"/>
          <w:szCs w:val="28"/>
        </w:rPr>
        <w:t xml:space="preserve"> </w:t>
      </w:r>
      <w:r w:rsidR="00077F62">
        <w:rPr>
          <w:rFonts w:ascii="Times New Roman" w:hAnsi="Times New Roman" w:cs="Times New Roman"/>
          <w:sz w:val="28"/>
          <w:szCs w:val="28"/>
        </w:rPr>
        <w:t>отсутствие в п</w:t>
      </w:r>
      <w:r w:rsidR="000C16FE" w:rsidRPr="008924E0">
        <w:rPr>
          <w:rFonts w:ascii="Times New Roman" w:hAnsi="Times New Roman" w:cs="Times New Roman"/>
          <w:sz w:val="28"/>
          <w:szCs w:val="28"/>
        </w:rPr>
        <w:t>ояснительны</w:t>
      </w:r>
      <w:r w:rsidR="00077F62">
        <w:rPr>
          <w:rFonts w:ascii="Times New Roman" w:hAnsi="Times New Roman" w:cs="Times New Roman"/>
          <w:sz w:val="28"/>
          <w:szCs w:val="28"/>
        </w:rPr>
        <w:t>х</w:t>
      </w:r>
      <w:r w:rsidR="000C16FE" w:rsidRPr="008924E0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077F62">
        <w:rPr>
          <w:rFonts w:ascii="Times New Roman" w:hAnsi="Times New Roman" w:cs="Times New Roman"/>
          <w:sz w:val="28"/>
          <w:szCs w:val="28"/>
        </w:rPr>
        <w:t>ах</w:t>
      </w:r>
      <w:r w:rsidR="000C16FE" w:rsidRPr="008924E0">
        <w:rPr>
          <w:rFonts w:ascii="Times New Roman" w:hAnsi="Times New Roman" w:cs="Times New Roman"/>
          <w:sz w:val="28"/>
          <w:szCs w:val="28"/>
        </w:rPr>
        <w:t xml:space="preserve"> информации по формам Отчетности</w:t>
      </w:r>
      <w:r w:rsidR="00AC186F">
        <w:rPr>
          <w:rFonts w:ascii="Times New Roman" w:hAnsi="Times New Roman" w:cs="Times New Roman"/>
          <w:sz w:val="28"/>
          <w:szCs w:val="28"/>
        </w:rPr>
        <w:t xml:space="preserve"> в статусе «Показатели отсутствуют»</w:t>
      </w:r>
      <w:r w:rsidR="000C16FE">
        <w:rPr>
          <w:rFonts w:ascii="Times New Roman" w:hAnsi="Times New Roman" w:cs="Times New Roman"/>
          <w:sz w:val="28"/>
          <w:szCs w:val="28"/>
        </w:rPr>
        <w:t>.</w:t>
      </w:r>
    </w:p>
    <w:p w:rsidR="002143D2" w:rsidRDefault="002143D2" w:rsidP="000C1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 основных ошибок по формам Отчетности приведен ниже.</w:t>
      </w:r>
    </w:p>
    <w:p w:rsidR="00AE7F18" w:rsidRPr="008924E0" w:rsidRDefault="00AE7F18" w:rsidP="000C1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C33" w:rsidRDefault="00CB1A89" w:rsidP="00096D7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31A7963" wp14:editId="39AFB763">
            <wp:extent cx="5760720" cy="295656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B1A89" w:rsidRDefault="00CB1A89" w:rsidP="00096D7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8AAB588" wp14:editId="78031DE3">
            <wp:extent cx="5768340" cy="3261360"/>
            <wp:effectExtent l="0" t="0" r="0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357D1" w:rsidRDefault="005357D1" w:rsidP="00EE06CF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70D7" w:rsidRPr="005B55A4" w:rsidRDefault="001E3552" w:rsidP="00EE06CF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55A4">
        <w:rPr>
          <w:rFonts w:ascii="Times New Roman" w:hAnsi="Times New Roman" w:cs="Times New Roman"/>
          <w:b/>
          <w:i/>
          <w:sz w:val="28"/>
          <w:szCs w:val="28"/>
        </w:rPr>
        <w:t>Форм</w:t>
      </w:r>
      <w:r w:rsidR="008F70D7" w:rsidRPr="005B55A4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5B55A4">
        <w:rPr>
          <w:rFonts w:ascii="Times New Roman" w:hAnsi="Times New Roman" w:cs="Times New Roman"/>
          <w:b/>
          <w:i/>
          <w:sz w:val="28"/>
          <w:szCs w:val="28"/>
        </w:rPr>
        <w:t xml:space="preserve"> 0503125 «Справк</w:t>
      </w:r>
      <w:r w:rsidR="00711AD8" w:rsidRPr="005B55A4">
        <w:rPr>
          <w:rFonts w:ascii="Times New Roman" w:hAnsi="Times New Roman" w:cs="Times New Roman"/>
          <w:b/>
          <w:i/>
          <w:sz w:val="28"/>
          <w:szCs w:val="28"/>
        </w:rPr>
        <w:t>а по консолидируемым расчетам»</w:t>
      </w:r>
      <w:r w:rsidR="008F70D7" w:rsidRPr="005B55A4">
        <w:rPr>
          <w:rFonts w:ascii="Times New Roman" w:hAnsi="Times New Roman" w:cs="Times New Roman"/>
          <w:b/>
          <w:i/>
          <w:sz w:val="28"/>
          <w:szCs w:val="28"/>
        </w:rPr>
        <w:t>, 0503725 «Справка по консолидируемым расчетам учреждения»</w:t>
      </w:r>
      <w:r w:rsidR="00A26562">
        <w:rPr>
          <w:rFonts w:ascii="Times New Roman" w:hAnsi="Times New Roman" w:cs="Times New Roman"/>
          <w:b/>
          <w:i/>
          <w:sz w:val="28"/>
          <w:szCs w:val="28"/>
        </w:rPr>
        <w:t xml:space="preserve"> (далее – Справка ф. 0503125, Справка ф. 0503725)</w:t>
      </w:r>
      <w:r w:rsidR="008F70D7" w:rsidRPr="005B55A4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02FCF" w:rsidRPr="00DF61BE" w:rsidRDefault="00902FCF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1BE">
        <w:rPr>
          <w:rFonts w:ascii="Times New Roman" w:hAnsi="Times New Roman" w:cs="Times New Roman"/>
          <w:sz w:val="28"/>
          <w:szCs w:val="28"/>
        </w:rPr>
        <w:t>-</w:t>
      </w:r>
      <w:r w:rsidR="00751A07" w:rsidRPr="00DF61BE">
        <w:rPr>
          <w:rFonts w:ascii="Times New Roman" w:hAnsi="Times New Roman" w:cs="Times New Roman"/>
          <w:sz w:val="28"/>
          <w:szCs w:val="28"/>
        </w:rPr>
        <w:t xml:space="preserve"> </w:t>
      </w:r>
      <w:r w:rsidR="00C256FB">
        <w:rPr>
          <w:rFonts w:ascii="Times New Roman" w:hAnsi="Times New Roman" w:cs="Times New Roman"/>
          <w:sz w:val="28"/>
          <w:szCs w:val="28"/>
        </w:rPr>
        <w:t xml:space="preserve">некорректно заполнены </w:t>
      </w:r>
      <w:r w:rsidR="00DF61BE" w:rsidRPr="00DF61BE">
        <w:rPr>
          <w:rFonts w:ascii="Times New Roman" w:hAnsi="Times New Roman" w:cs="Times New Roman"/>
          <w:sz w:val="28"/>
          <w:szCs w:val="28"/>
        </w:rPr>
        <w:t>Справ</w:t>
      </w:r>
      <w:r w:rsidR="00B0116A">
        <w:rPr>
          <w:rFonts w:ascii="Times New Roman" w:hAnsi="Times New Roman" w:cs="Times New Roman"/>
          <w:sz w:val="28"/>
          <w:szCs w:val="28"/>
        </w:rPr>
        <w:t>к</w:t>
      </w:r>
      <w:r w:rsidR="00C256FB">
        <w:rPr>
          <w:rFonts w:ascii="Times New Roman" w:hAnsi="Times New Roman" w:cs="Times New Roman"/>
          <w:sz w:val="28"/>
          <w:szCs w:val="28"/>
        </w:rPr>
        <w:t>и</w:t>
      </w:r>
      <w:r w:rsidR="00DF61BE" w:rsidRPr="00DF61BE">
        <w:rPr>
          <w:rFonts w:ascii="Times New Roman" w:hAnsi="Times New Roman" w:cs="Times New Roman"/>
          <w:sz w:val="28"/>
          <w:szCs w:val="28"/>
        </w:rPr>
        <w:t xml:space="preserve"> ф. 0503125, ф. 0503725</w:t>
      </w:r>
      <w:r w:rsidR="001E3552" w:rsidRPr="00DF61BE">
        <w:rPr>
          <w:rFonts w:ascii="Times New Roman" w:hAnsi="Times New Roman" w:cs="Times New Roman"/>
          <w:sz w:val="28"/>
          <w:szCs w:val="28"/>
        </w:rPr>
        <w:t xml:space="preserve"> </w:t>
      </w:r>
      <w:r w:rsidR="00C256FB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1E3552" w:rsidRPr="00DF61BE">
        <w:rPr>
          <w:rFonts w:ascii="Times New Roman" w:hAnsi="Times New Roman" w:cs="Times New Roman"/>
          <w:sz w:val="28"/>
          <w:szCs w:val="28"/>
        </w:rPr>
        <w:t>обязательны</w:t>
      </w:r>
      <w:r w:rsidR="00C256FB">
        <w:rPr>
          <w:rFonts w:ascii="Times New Roman" w:hAnsi="Times New Roman" w:cs="Times New Roman"/>
          <w:sz w:val="28"/>
          <w:szCs w:val="28"/>
        </w:rPr>
        <w:t>х</w:t>
      </w:r>
      <w:r w:rsidR="001E3552" w:rsidRPr="00DF61BE">
        <w:rPr>
          <w:rFonts w:ascii="Times New Roman" w:hAnsi="Times New Roman" w:cs="Times New Roman"/>
          <w:sz w:val="28"/>
          <w:szCs w:val="28"/>
        </w:rPr>
        <w:t xml:space="preserve"> реквизит</w:t>
      </w:r>
      <w:r w:rsidR="00C256FB">
        <w:rPr>
          <w:rFonts w:ascii="Times New Roman" w:hAnsi="Times New Roman" w:cs="Times New Roman"/>
          <w:sz w:val="28"/>
          <w:szCs w:val="28"/>
        </w:rPr>
        <w:t>ов</w:t>
      </w:r>
      <w:r w:rsidR="001E3552" w:rsidRPr="00DF61BE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DF61BE">
        <w:rPr>
          <w:rFonts w:ascii="Times New Roman" w:hAnsi="Times New Roman" w:cs="Times New Roman"/>
          <w:sz w:val="28"/>
          <w:szCs w:val="28"/>
        </w:rPr>
        <w:t>ов</w:t>
      </w:r>
      <w:r w:rsidR="00C256FB">
        <w:rPr>
          <w:rFonts w:ascii="Times New Roman" w:hAnsi="Times New Roman" w:cs="Times New Roman"/>
          <w:sz w:val="28"/>
          <w:szCs w:val="28"/>
        </w:rPr>
        <w:t>:</w:t>
      </w:r>
      <w:r w:rsidR="001E3552" w:rsidRPr="00DF61BE"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 w:rsidR="00780752" w:rsidRPr="00DF61BE">
        <w:rPr>
          <w:rFonts w:ascii="Times New Roman" w:hAnsi="Times New Roman" w:cs="Times New Roman"/>
          <w:sz w:val="28"/>
          <w:szCs w:val="28"/>
        </w:rPr>
        <w:t>учреждения, наименование бюджета</w:t>
      </w:r>
      <w:r w:rsidR="001E3552" w:rsidRPr="00DF61BE">
        <w:rPr>
          <w:rFonts w:ascii="Times New Roman" w:hAnsi="Times New Roman" w:cs="Times New Roman"/>
          <w:sz w:val="28"/>
          <w:szCs w:val="28"/>
        </w:rPr>
        <w:t xml:space="preserve">, </w:t>
      </w:r>
      <w:r w:rsidRPr="00DF61BE">
        <w:rPr>
          <w:rFonts w:ascii="Times New Roman" w:hAnsi="Times New Roman" w:cs="Times New Roman"/>
          <w:sz w:val="28"/>
          <w:szCs w:val="28"/>
        </w:rPr>
        <w:t>наименование вида деятельности;</w:t>
      </w:r>
    </w:p>
    <w:p w:rsidR="001E3552" w:rsidRPr="001E3552" w:rsidRDefault="00902FCF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1A07">
        <w:rPr>
          <w:rFonts w:ascii="Times New Roman" w:hAnsi="Times New Roman" w:cs="Times New Roman"/>
          <w:sz w:val="28"/>
          <w:szCs w:val="28"/>
        </w:rPr>
        <w:t xml:space="preserve"> в </w:t>
      </w:r>
      <w:r w:rsidR="00DF61BE">
        <w:rPr>
          <w:rFonts w:ascii="Times New Roman" w:hAnsi="Times New Roman" w:cs="Times New Roman"/>
          <w:sz w:val="28"/>
          <w:szCs w:val="28"/>
        </w:rPr>
        <w:t>Справках ф.</w:t>
      </w:r>
      <w:r w:rsidR="00751A07">
        <w:rPr>
          <w:rFonts w:ascii="Times New Roman" w:hAnsi="Times New Roman" w:cs="Times New Roman"/>
          <w:sz w:val="28"/>
          <w:szCs w:val="28"/>
        </w:rPr>
        <w:t xml:space="preserve"> 0503125</w:t>
      </w:r>
      <w:r w:rsidR="00586FBC">
        <w:rPr>
          <w:rFonts w:ascii="Times New Roman" w:hAnsi="Times New Roman" w:cs="Times New Roman"/>
          <w:sz w:val="28"/>
          <w:szCs w:val="28"/>
        </w:rPr>
        <w:t>, 0503725</w:t>
      </w:r>
      <w:r w:rsidR="00751A07">
        <w:rPr>
          <w:rFonts w:ascii="Times New Roman" w:hAnsi="Times New Roman" w:cs="Times New Roman"/>
          <w:sz w:val="28"/>
          <w:szCs w:val="28"/>
        </w:rPr>
        <w:t xml:space="preserve"> (по счету </w:t>
      </w:r>
      <w:r w:rsidR="00751A07" w:rsidRPr="001E3552">
        <w:rPr>
          <w:rFonts w:ascii="Times New Roman" w:hAnsi="Times New Roman" w:cs="Times New Roman"/>
          <w:sz w:val="28"/>
          <w:szCs w:val="28"/>
        </w:rPr>
        <w:t>030404000</w:t>
      </w:r>
      <w:r w:rsidR="00751A07">
        <w:rPr>
          <w:rFonts w:ascii="Times New Roman" w:hAnsi="Times New Roman" w:cs="Times New Roman"/>
          <w:sz w:val="28"/>
          <w:szCs w:val="28"/>
        </w:rPr>
        <w:t>)</w:t>
      </w:r>
      <w:r w:rsidR="001A0494">
        <w:rPr>
          <w:rFonts w:ascii="Times New Roman" w:hAnsi="Times New Roman" w:cs="Times New Roman"/>
          <w:sz w:val="28"/>
          <w:szCs w:val="28"/>
        </w:rPr>
        <w:t xml:space="preserve"> </w:t>
      </w:r>
      <w:r w:rsidR="003C4A8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E3552" w:rsidRPr="001E3552">
        <w:rPr>
          <w:rFonts w:ascii="Times New Roman" w:hAnsi="Times New Roman" w:cs="Times New Roman"/>
          <w:sz w:val="28"/>
          <w:szCs w:val="28"/>
        </w:rPr>
        <w:t>е заполнен</w:t>
      </w:r>
      <w:r w:rsidR="00751A07">
        <w:rPr>
          <w:rFonts w:ascii="Times New Roman" w:hAnsi="Times New Roman" w:cs="Times New Roman"/>
          <w:sz w:val="28"/>
          <w:szCs w:val="28"/>
        </w:rPr>
        <w:t xml:space="preserve">о наименование контрагента </w:t>
      </w:r>
      <w:r w:rsidR="001A0494">
        <w:rPr>
          <w:rFonts w:ascii="Times New Roman" w:hAnsi="Times New Roman" w:cs="Times New Roman"/>
          <w:sz w:val="28"/>
          <w:szCs w:val="28"/>
        </w:rPr>
        <w:t>(</w:t>
      </w:r>
      <w:r w:rsidR="001A0494" w:rsidRPr="001E3552">
        <w:rPr>
          <w:rFonts w:ascii="Times New Roman" w:hAnsi="Times New Roman" w:cs="Times New Roman"/>
          <w:sz w:val="28"/>
          <w:szCs w:val="28"/>
        </w:rPr>
        <w:t>гр</w:t>
      </w:r>
      <w:r w:rsidR="001A0494">
        <w:rPr>
          <w:rFonts w:ascii="Times New Roman" w:hAnsi="Times New Roman" w:cs="Times New Roman"/>
          <w:sz w:val="28"/>
          <w:szCs w:val="28"/>
        </w:rPr>
        <w:t>афа</w:t>
      </w:r>
      <w:r w:rsidR="001A0494" w:rsidRPr="001E3552">
        <w:rPr>
          <w:rFonts w:ascii="Times New Roman" w:hAnsi="Times New Roman" w:cs="Times New Roman"/>
          <w:sz w:val="28"/>
          <w:szCs w:val="28"/>
        </w:rPr>
        <w:t xml:space="preserve"> 1</w:t>
      </w:r>
      <w:r w:rsidR="001A0494">
        <w:rPr>
          <w:rFonts w:ascii="Times New Roman" w:hAnsi="Times New Roman" w:cs="Times New Roman"/>
          <w:sz w:val="28"/>
          <w:szCs w:val="28"/>
        </w:rPr>
        <w:t>)</w:t>
      </w:r>
      <w:r w:rsidR="00586FBC">
        <w:rPr>
          <w:rFonts w:ascii="Times New Roman" w:hAnsi="Times New Roman" w:cs="Times New Roman"/>
          <w:sz w:val="28"/>
          <w:szCs w:val="28"/>
        </w:rPr>
        <w:t>;</w:t>
      </w:r>
    </w:p>
    <w:p w:rsidR="001E3552" w:rsidRPr="001E3552" w:rsidRDefault="00586FBC" w:rsidP="00D244A5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F61BE">
        <w:rPr>
          <w:rFonts w:ascii="Times New Roman" w:hAnsi="Times New Roman" w:cs="Times New Roman"/>
          <w:sz w:val="28"/>
          <w:szCs w:val="28"/>
        </w:rPr>
        <w:t xml:space="preserve">Справке </w:t>
      </w:r>
      <w:r>
        <w:rPr>
          <w:rFonts w:ascii="Times New Roman" w:hAnsi="Times New Roman" w:cs="Times New Roman"/>
          <w:sz w:val="28"/>
          <w:szCs w:val="28"/>
        </w:rPr>
        <w:t xml:space="preserve">ф. 0503725 (по счету </w:t>
      </w:r>
      <w:r w:rsidRPr="001E3552">
        <w:rPr>
          <w:rFonts w:ascii="Times New Roman" w:hAnsi="Times New Roman" w:cs="Times New Roman"/>
          <w:sz w:val="28"/>
          <w:szCs w:val="28"/>
        </w:rPr>
        <w:t>030404000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C4A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не заполнен </w:t>
      </w:r>
      <w:r w:rsidRPr="001E3552">
        <w:rPr>
          <w:rFonts w:ascii="Times New Roman" w:hAnsi="Times New Roman" w:cs="Times New Roman"/>
          <w:sz w:val="28"/>
          <w:szCs w:val="28"/>
        </w:rPr>
        <w:t>код учреждения (обособленного подразделения), присвоенный головным учреждением в целях систематизации документооборота, финансовой (бухгалтерской) информации</w:t>
      </w:r>
      <w:r>
        <w:rPr>
          <w:rFonts w:ascii="Times New Roman" w:hAnsi="Times New Roman" w:cs="Times New Roman"/>
          <w:sz w:val="28"/>
          <w:szCs w:val="28"/>
        </w:rPr>
        <w:t xml:space="preserve"> (графа 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208" w:rsidRDefault="00557BC3" w:rsidP="00EE06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7208">
        <w:rPr>
          <w:rFonts w:ascii="Times New Roman" w:hAnsi="Times New Roman" w:cs="Times New Roman"/>
          <w:b/>
          <w:i/>
          <w:sz w:val="28"/>
          <w:szCs w:val="28"/>
        </w:rPr>
        <w:t>Форма 0503127</w:t>
      </w:r>
      <w:r w:rsidR="00FB7208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FB7208" w:rsidRPr="00FB72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</w:t>
      </w:r>
      <w:r w:rsidR="00FB72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="00DF61B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(далее - Отчет ф. 0503127)</w:t>
      </w:r>
      <w:r w:rsidR="003434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0128CF" w:rsidRDefault="00A26562" w:rsidP="00A26562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422A">
        <w:rPr>
          <w:rFonts w:ascii="Times New Roman" w:hAnsi="Times New Roman" w:cs="Times New Roman"/>
          <w:sz w:val="28"/>
          <w:szCs w:val="28"/>
        </w:rPr>
        <w:t>в Отчете ф</w:t>
      </w:r>
      <w:r w:rsidR="000C2DE5">
        <w:rPr>
          <w:rFonts w:ascii="Times New Roman" w:hAnsi="Times New Roman" w:cs="Times New Roman"/>
          <w:sz w:val="28"/>
          <w:szCs w:val="28"/>
        </w:rPr>
        <w:t>.</w:t>
      </w:r>
      <w:r w:rsidR="00F4422A">
        <w:rPr>
          <w:rFonts w:ascii="Times New Roman" w:hAnsi="Times New Roman" w:cs="Times New Roman"/>
          <w:sz w:val="28"/>
          <w:szCs w:val="28"/>
        </w:rPr>
        <w:t xml:space="preserve"> 0503127 </w:t>
      </w:r>
      <w:r w:rsidR="006661B7">
        <w:rPr>
          <w:rFonts w:ascii="Times New Roman" w:hAnsi="Times New Roman" w:cs="Times New Roman"/>
          <w:sz w:val="28"/>
          <w:szCs w:val="28"/>
        </w:rPr>
        <w:t>отражен</w:t>
      </w:r>
      <w:r w:rsidR="00F4422A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="00F05258" w:rsidRPr="00F05258">
        <w:rPr>
          <w:rFonts w:ascii="Times New Roman" w:hAnsi="Times New Roman" w:cs="Times New Roman"/>
          <w:sz w:val="28"/>
          <w:szCs w:val="28"/>
        </w:rPr>
        <w:t xml:space="preserve">КБК доходов </w:t>
      </w:r>
      <w:r w:rsidR="00D462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462CF">
        <w:rPr>
          <w:rFonts w:ascii="Times New Roman" w:hAnsi="Times New Roman" w:cs="Times New Roman"/>
          <w:sz w:val="28"/>
          <w:szCs w:val="28"/>
        </w:rPr>
        <w:lastRenderedPageBreak/>
        <w:t xml:space="preserve">000 </w:t>
      </w:r>
      <w:r w:rsidR="00F05258" w:rsidRPr="00F05258">
        <w:rPr>
          <w:rFonts w:ascii="Times New Roman" w:hAnsi="Times New Roman" w:cs="Times New Roman"/>
          <w:sz w:val="28"/>
          <w:szCs w:val="28"/>
        </w:rPr>
        <w:t>11201040016000120</w:t>
      </w:r>
      <w:r w:rsidR="00F4422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6661B7" w:rsidRPr="00F05258">
        <w:rPr>
          <w:rFonts w:ascii="Times New Roman" w:hAnsi="Times New Roman" w:cs="Times New Roman"/>
          <w:sz w:val="28"/>
          <w:szCs w:val="28"/>
        </w:rPr>
        <w:t>исключен</w:t>
      </w:r>
      <w:r w:rsidR="006661B7">
        <w:rPr>
          <w:rFonts w:ascii="Times New Roman" w:hAnsi="Times New Roman" w:cs="Times New Roman"/>
          <w:sz w:val="28"/>
          <w:szCs w:val="28"/>
        </w:rPr>
        <w:t xml:space="preserve"> </w:t>
      </w:r>
      <w:r w:rsidR="0091224C">
        <w:rPr>
          <w:rFonts w:ascii="Times New Roman" w:hAnsi="Times New Roman" w:cs="Times New Roman"/>
          <w:sz w:val="28"/>
          <w:szCs w:val="28"/>
        </w:rPr>
        <w:t xml:space="preserve">из бюджетной классификации Российской Федерации (далее – БК РФ) </w:t>
      </w:r>
      <w:r w:rsidR="00F4422A">
        <w:rPr>
          <w:rFonts w:ascii="Times New Roman" w:hAnsi="Times New Roman" w:cs="Times New Roman"/>
          <w:sz w:val="28"/>
          <w:szCs w:val="28"/>
        </w:rPr>
        <w:t>приказом Минфина России от 28</w:t>
      </w:r>
      <w:r w:rsidR="006661B7">
        <w:rPr>
          <w:rFonts w:ascii="Times New Roman" w:hAnsi="Times New Roman" w:cs="Times New Roman"/>
          <w:sz w:val="28"/>
          <w:szCs w:val="28"/>
        </w:rPr>
        <w:t> </w:t>
      </w:r>
      <w:r w:rsidR="00F4422A">
        <w:rPr>
          <w:rFonts w:ascii="Times New Roman" w:hAnsi="Times New Roman" w:cs="Times New Roman"/>
          <w:sz w:val="28"/>
          <w:szCs w:val="28"/>
        </w:rPr>
        <w:t>февраля 2018 № 35н</w:t>
      </w:r>
      <w:r w:rsidR="0091224C">
        <w:rPr>
          <w:rFonts w:ascii="Times New Roman" w:hAnsi="Times New Roman" w:cs="Times New Roman"/>
          <w:sz w:val="28"/>
          <w:szCs w:val="28"/>
        </w:rPr>
        <w:t>;</w:t>
      </w:r>
      <w:r w:rsidR="00F05258" w:rsidRPr="00F052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8CF" w:rsidRPr="00284B27" w:rsidRDefault="00A26562" w:rsidP="00096D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137D">
        <w:rPr>
          <w:rFonts w:ascii="Times New Roman" w:hAnsi="Times New Roman" w:cs="Times New Roman"/>
          <w:sz w:val="28"/>
          <w:szCs w:val="28"/>
        </w:rPr>
        <w:t>-</w:t>
      </w:r>
      <w:r w:rsidR="000C2DE5" w:rsidRPr="000C137D">
        <w:rPr>
          <w:rFonts w:ascii="Times New Roman" w:hAnsi="Times New Roman" w:cs="Times New Roman"/>
          <w:sz w:val="28"/>
          <w:szCs w:val="28"/>
        </w:rPr>
        <w:t xml:space="preserve"> </w:t>
      </w:r>
      <w:r w:rsidR="00AA3C45" w:rsidRPr="000C137D">
        <w:rPr>
          <w:rFonts w:ascii="Times New Roman" w:hAnsi="Times New Roman" w:cs="Times New Roman"/>
          <w:sz w:val="28"/>
          <w:szCs w:val="28"/>
        </w:rPr>
        <w:t>граф</w:t>
      </w:r>
      <w:r w:rsidR="00D23035">
        <w:rPr>
          <w:rFonts w:ascii="Times New Roman" w:hAnsi="Times New Roman" w:cs="Times New Roman"/>
          <w:sz w:val="28"/>
          <w:szCs w:val="28"/>
        </w:rPr>
        <w:t>ы</w:t>
      </w:r>
      <w:r w:rsidR="00AA3C45" w:rsidRPr="000C137D">
        <w:rPr>
          <w:rFonts w:ascii="Times New Roman" w:hAnsi="Times New Roman" w:cs="Times New Roman"/>
          <w:sz w:val="28"/>
          <w:szCs w:val="28"/>
        </w:rPr>
        <w:t xml:space="preserve"> 6 - 11 раздела 2 Отчета ф. 0503127 (о бюджетных назначениях) </w:t>
      </w:r>
      <w:r w:rsidR="00422C51">
        <w:rPr>
          <w:rFonts w:ascii="Times New Roman" w:hAnsi="Times New Roman" w:cs="Times New Roman"/>
          <w:sz w:val="28"/>
          <w:szCs w:val="28"/>
        </w:rPr>
        <w:t>заполнены</w:t>
      </w:r>
      <w:r w:rsidR="00185F5F" w:rsidRPr="00284B2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22C51">
        <w:rPr>
          <w:rFonts w:ascii="Times New Roman" w:hAnsi="Times New Roman" w:cs="Times New Roman"/>
          <w:sz w:val="28"/>
          <w:szCs w:val="28"/>
        </w:rPr>
        <w:t>ями</w:t>
      </w:r>
      <w:r w:rsidR="00185F5F" w:rsidRPr="00284B27">
        <w:rPr>
          <w:rFonts w:ascii="Times New Roman" w:hAnsi="Times New Roman" w:cs="Times New Roman"/>
          <w:sz w:val="28"/>
          <w:szCs w:val="28"/>
        </w:rPr>
        <w:t xml:space="preserve">, </w:t>
      </w:r>
      <w:r w:rsidR="0019136F">
        <w:rPr>
          <w:rFonts w:ascii="Times New Roman" w:hAnsi="Times New Roman" w:cs="Times New Roman"/>
          <w:sz w:val="28"/>
          <w:szCs w:val="28"/>
        </w:rPr>
        <w:t>между тем указанные графы</w:t>
      </w:r>
      <w:r w:rsidR="00185F5F" w:rsidRPr="00284B27">
        <w:rPr>
          <w:rFonts w:ascii="Times New Roman" w:hAnsi="Times New Roman" w:cs="Times New Roman"/>
          <w:sz w:val="28"/>
          <w:szCs w:val="28"/>
        </w:rPr>
        <w:t xml:space="preserve"> </w:t>
      </w:r>
      <w:r w:rsidR="00A85FB2" w:rsidRPr="00284B27">
        <w:rPr>
          <w:rFonts w:ascii="Times New Roman" w:hAnsi="Times New Roman" w:cs="Times New Roman"/>
          <w:sz w:val="28"/>
          <w:szCs w:val="28"/>
        </w:rPr>
        <w:t xml:space="preserve">не </w:t>
      </w:r>
      <w:r w:rsidR="000C137D" w:rsidRPr="00284B27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A85FB2" w:rsidRPr="00284B27">
        <w:rPr>
          <w:rFonts w:ascii="Times New Roman" w:hAnsi="Times New Roman" w:cs="Times New Roman"/>
          <w:sz w:val="28"/>
          <w:szCs w:val="28"/>
        </w:rPr>
        <w:t>заполня</w:t>
      </w:r>
      <w:r w:rsidR="000C137D" w:rsidRPr="00284B27">
        <w:rPr>
          <w:rFonts w:ascii="Times New Roman" w:hAnsi="Times New Roman" w:cs="Times New Roman"/>
          <w:sz w:val="28"/>
          <w:szCs w:val="28"/>
        </w:rPr>
        <w:t>ть</w:t>
      </w:r>
      <w:r w:rsidR="00A85FB2" w:rsidRPr="00284B27">
        <w:rPr>
          <w:rFonts w:ascii="Times New Roman" w:hAnsi="Times New Roman" w:cs="Times New Roman"/>
          <w:sz w:val="28"/>
          <w:szCs w:val="28"/>
        </w:rPr>
        <w:t xml:space="preserve">ся </w:t>
      </w:r>
      <w:r w:rsidR="00185F5F" w:rsidRPr="00284B27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143B54" w:rsidRPr="00284B27">
        <w:rPr>
          <w:rFonts w:ascii="Times New Roman" w:hAnsi="Times New Roman" w:cs="Times New Roman"/>
          <w:sz w:val="28"/>
          <w:szCs w:val="28"/>
        </w:rPr>
        <w:t>унктом</w:t>
      </w:r>
      <w:r w:rsidR="00185F5F" w:rsidRPr="00284B27">
        <w:rPr>
          <w:rFonts w:ascii="Times New Roman" w:hAnsi="Times New Roman" w:cs="Times New Roman"/>
          <w:sz w:val="28"/>
          <w:szCs w:val="28"/>
        </w:rPr>
        <w:t xml:space="preserve"> 59.1. Инструкции № 191н</w:t>
      </w:r>
      <w:r w:rsidR="0013146C" w:rsidRPr="00284B27">
        <w:rPr>
          <w:rFonts w:ascii="Times New Roman" w:hAnsi="Times New Roman" w:cs="Times New Roman"/>
          <w:sz w:val="28"/>
          <w:szCs w:val="28"/>
        </w:rPr>
        <w:t>.</w:t>
      </w:r>
      <w:r w:rsidR="00F05258" w:rsidRPr="00284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A7B" w:rsidRPr="00FB7208" w:rsidRDefault="00AE5A7B" w:rsidP="00EE06C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7208">
        <w:rPr>
          <w:rFonts w:ascii="Times New Roman" w:hAnsi="Times New Roman" w:cs="Times New Roman"/>
          <w:b/>
          <w:i/>
          <w:sz w:val="28"/>
          <w:szCs w:val="28"/>
        </w:rPr>
        <w:t>Форма 0503737 «Отчет об исполнении учреждением плана его финансово-хозяйственной деятельности»</w:t>
      </w:r>
      <w:r w:rsidR="002E4227">
        <w:rPr>
          <w:rFonts w:ascii="Times New Roman" w:hAnsi="Times New Roman" w:cs="Times New Roman"/>
          <w:b/>
          <w:i/>
          <w:sz w:val="28"/>
          <w:szCs w:val="28"/>
        </w:rPr>
        <w:t xml:space="preserve"> (далее – Отчет ф. 0503737)</w:t>
      </w:r>
      <w:r w:rsidRPr="00FB720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13F05" w:rsidRPr="00F45C3D" w:rsidRDefault="00A3543A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графа 10 Отчета ф. 0503737 </w:t>
      </w:r>
      <w:r w:rsidR="00EE5701">
        <w:rPr>
          <w:rFonts w:ascii="Times New Roman" w:hAnsi="Times New Roman" w:cs="Times New Roman"/>
          <w:sz w:val="28"/>
          <w:szCs w:val="28"/>
        </w:rPr>
        <w:t>п</w:t>
      </w:r>
      <w:r w:rsidR="00EE5701" w:rsidRPr="00F45C3D">
        <w:rPr>
          <w:rFonts w:ascii="Times New Roman" w:hAnsi="Times New Roman" w:cs="Times New Roman"/>
          <w:sz w:val="28"/>
          <w:szCs w:val="28"/>
        </w:rPr>
        <w:t>ри отсутствии плановых назначений (графа 4)</w:t>
      </w:r>
      <w:r w:rsidR="00EE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 показатели</w:t>
      </w:r>
      <w:r w:rsidR="00EE5701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BA6737">
        <w:rPr>
          <w:rFonts w:ascii="Times New Roman" w:hAnsi="Times New Roman" w:cs="Times New Roman"/>
          <w:sz w:val="28"/>
          <w:szCs w:val="28"/>
        </w:rPr>
        <w:t xml:space="preserve">не </w:t>
      </w:r>
      <w:r w:rsidR="00BA6737" w:rsidRPr="00F45C3D">
        <w:rPr>
          <w:rFonts w:ascii="Times New Roman" w:hAnsi="Times New Roman" w:cs="Times New Roman"/>
          <w:sz w:val="28"/>
          <w:szCs w:val="28"/>
        </w:rPr>
        <w:t>рассчитыва</w:t>
      </w:r>
      <w:r w:rsidR="00BA6737">
        <w:rPr>
          <w:rFonts w:ascii="Times New Roman" w:hAnsi="Times New Roman" w:cs="Times New Roman"/>
          <w:sz w:val="28"/>
          <w:szCs w:val="28"/>
        </w:rPr>
        <w:t>ют</w:t>
      </w:r>
      <w:r w:rsidR="00BA6737" w:rsidRPr="00F45C3D">
        <w:rPr>
          <w:rFonts w:ascii="Times New Roman" w:hAnsi="Times New Roman" w:cs="Times New Roman"/>
          <w:sz w:val="28"/>
          <w:szCs w:val="28"/>
        </w:rPr>
        <w:t>ся</w:t>
      </w:r>
      <w:r w:rsidR="00BA6737">
        <w:rPr>
          <w:rFonts w:ascii="Times New Roman" w:hAnsi="Times New Roman" w:cs="Times New Roman"/>
          <w:sz w:val="28"/>
          <w:szCs w:val="28"/>
        </w:rPr>
        <w:t xml:space="preserve"> </w:t>
      </w:r>
      <w:r w:rsidR="00EE570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E5701" w:rsidRPr="00F45C3D">
        <w:rPr>
          <w:rFonts w:ascii="Times New Roman" w:hAnsi="Times New Roman" w:cs="Times New Roman"/>
          <w:sz w:val="28"/>
          <w:szCs w:val="28"/>
        </w:rPr>
        <w:t>п</w:t>
      </w:r>
      <w:r w:rsidR="00EB403C">
        <w:rPr>
          <w:rFonts w:ascii="Times New Roman" w:hAnsi="Times New Roman" w:cs="Times New Roman"/>
          <w:sz w:val="28"/>
          <w:szCs w:val="28"/>
        </w:rPr>
        <w:t>унктом</w:t>
      </w:r>
      <w:r w:rsidR="00EE5701" w:rsidRPr="00F45C3D">
        <w:rPr>
          <w:rFonts w:ascii="Times New Roman" w:hAnsi="Times New Roman" w:cs="Times New Roman"/>
          <w:sz w:val="28"/>
          <w:szCs w:val="28"/>
        </w:rPr>
        <w:t xml:space="preserve"> 39 Инструкции № 33н</w:t>
      </w:r>
      <w:r w:rsidR="00CE20BE">
        <w:rPr>
          <w:rFonts w:ascii="Times New Roman" w:hAnsi="Times New Roman" w:cs="Times New Roman"/>
          <w:sz w:val="28"/>
          <w:szCs w:val="28"/>
        </w:rPr>
        <w:t>;</w:t>
      </w:r>
      <w:r w:rsidR="00434E8F" w:rsidRPr="00F45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43A" w:rsidRPr="00F45C3D" w:rsidRDefault="00CE20BE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заполнен раздел 3 Отчета ф. 0503737;</w:t>
      </w:r>
    </w:p>
    <w:p w:rsidR="00313F05" w:rsidRPr="00F45C3D" w:rsidRDefault="00052B85" w:rsidP="00E936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13F05" w:rsidRPr="00F45C3D">
        <w:rPr>
          <w:rFonts w:ascii="Times New Roman" w:hAnsi="Times New Roman" w:cs="Times New Roman"/>
          <w:sz w:val="28"/>
          <w:szCs w:val="28"/>
        </w:rPr>
        <w:t xml:space="preserve">оказатели Отчета </w:t>
      </w:r>
      <w:r w:rsidRPr="00F45C3D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F45C3D">
        <w:rPr>
          <w:rFonts w:ascii="Times New Roman" w:hAnsi="Times New Roman" w:cs="Times New Roman"/>
          <w:sz w:val="28"/>
          <w:szCs w:val="28"/>
        </w:rPr>
        <w:t>503737</w:t>
      </w:r>
      <w:r>
        <w:rPr>
          <w:rFonts w:ascii="Times New Roman" w:hAnsi="Times New Roman" w:cs="Times New Roman"/>
          <w:sz w:val="28"/>
          <w:szCs w:val="28"/>
        </w:rPr>
        <w:t xml:space="preserve"> не идентичны соответствующим показателям </w:t>
      </w:r>
      <w:r w:rsidR="00313F05" w:rsidRPr="00F45C3D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313F05" w:rsidRPr="00F45C3D">
        <w:rPr>
          <w:rFonts w:ascii="Times New Roman" w:hAnsi="Times New Roman" w:cs="Times New Roman"/>
          <w:sz w:val="28"/>
          <w:szCs w:val="28"/>
        </w:rPr>
        <w:t xml:space="preserve">0531342 </w:t>
      </w:r>
      <w:r>
        <w:rPr>
          <w:rFonts w:ascii="Times New Roman" w:hAnsi="Times New Roman" w:cs="Times New Roman"/>
          <w:sz w:val="28"/>
          <w:szCs w:val="28"/>
        </w:rPr>
        <w:t>«Отчет об операциях со средствами бюджетных, автономных учреждений и иных юридических лиц в разрезе учреждений и юридических лиц»</w:t>
      </w:r>
      <w:r w:rsidR="00313F05" w:rsidRPr="00F45C3D">
        <w:rPr>
          <w:rFonts w:ascii="Times New Roman" w:hAnsi="Times New Roman" w:cs="Times New Roman"/>
          <w:sz w:val="28"/>
          <w:szCs w:val="28"/>
        </w:rPr>
        <w:t>.</w:t>
      </w:r>
    </w:p>
    <w:p w:rsidR="001E3552" w:rsidRPr="00A12CFF" w:rsidRDefault="001E3552" w:rsidP="00EE06C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12CFF">
        <w:rPr>
          <w:rFonts w:ascii="Times New Roman" w:hAnsi="Times New Roman" w:cs="Times New Roman"/>
          <w:b/>
          <w:i/>
          <w:sz w:val="28"/>
          <w:szCs w:val="28"/>
        </w:rPr>
        <w:t>Форма 0503164 «Сведения об исполнении бюджета»</w:t>
      </w:r>
      <w:r w:rsidR="00A12CFF">
        <w:rPr>
          <w:rFonts w:ascii="Times New Roman" w:hAnsi="Times New Roman" w:cs="Times New Roman"/>
          <w:b/>
          <w:i/>
          <w:sz w:val="28"/>
          <w:szCs w:val="28"/>
        </w:rPr>
        <w:t xml:space="preserve"> (далее – Сведения ф. 0503164)</w:t>
      </w:r>
      <w:r w:rsidRPr="00A12CF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3391A" w:rsidRPr="00840FA3" w:rsidRDefault="0063391A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0FA3">
        <w:rPr>
          <w:rFonts w:ascii="Times New Roman" w:hAnsi="Times New Roman" w:cs="Times New Roman"/>
          <w:sz w:val="28"/>
          <w:szCs w:val="28"/>
        </w:rPr>
        <w:t>-</w:t>
      </w:r>
      <w:r w:rsidR="001E3552" w:rsidRPr="00840FA3">
        <w:rPr>
          <w:rFonts w:ascii="Times New Roman" w:hAnsi="Times New Roman" w:cs="Times New Roman"/>
          <w:sz w:val="28"/>
          <w:szCs w:val="28"/>
        </w:rPr>
        <w:t xml:space="preserve"> </w:t>
      </w:r>
      <w:r w:rsidRPr="00840FA3">
        <w:rPr>
          <w:rFonts w:ascii="Times New Roman" w:hAnsi="Times New Roman" w:cs="Times New Roman"/>
          <w:sz w:val="28"/>
          <w:szCs w:val="28"/>
        </w:rPr>
        <w:t xml:space="preserve">в </w:t>
      </w:r>
      <w:r w:rsidR="001E3552" w:rsidRPr="00840FA3">
        <w:rPr>
          <w:rFonts w:ascii="Times New Roman" w:hAnsi="Times New Roman" w:cs="Times New Roman"/>
          <w:sz w:val="28"/>
          <w:szCs w:val="28"/>
        </w:rPr>
        <w:t>гр</w:t>
      </w:r>
      <w:r w:rsidRPr="00840FA3">
        <w:rPr>
          <w:rFonts w:ascii="Times New Roman" w:hAnsi="Times New Roman" w:cs="Times New Roman"/>
          <w:sz w:val="28"/>
          <w:szCs w:val="28"/>
        </w:rPr>
        <w:t>афе</w:t>
      </w:r>
      <w:r w:rsidR="001E3552" w:rsidRPr="00840FA3">
        <w:rPr>
          <w:rFonts w:ascii="Times New Roman" w:hAnsi="Times New Roman" w:cs="Times New Roman"/>
          <w:sz w:val="28"/>
          <w:szCs w:val="28"/>
        </w:rPr>
        <w:t xml:space="preserve"> 3 раздела 1</w:t>
      </w:r>
      <w:r w:rsidRPr="00840FA3">
        <w:rPr>
          <w:rFonts w:ascii="Times New Roman" w:hAnsi="Times New Roman" w:cs="Times New Roman"/>
          <w:sz w:val="28"/>
          <w:szCs w:val="28"/>
        </w:rPr>
        <w:t xml:space="preserve"> </w:t>
      </w:r>
      <w:r w:rsidR="000711E5" w:rsidRPr="00840FA3">
        <w:rPr>
          <w:rFonts w:ascii="Times New Roman" w:hAnsi="Times New Roman" w:cs="Times New Roman"/>
          <w:sz w:val="28"/>
          <w:szCs w:val="28"/>
        </w:rPr>
        <w:t xml:space="preserve">Сведений ф. 0503164 </w:t>
      </w:r>
      <w:r w:rsidR="002862A1" w:rsidRPr="00840FA3">
        <w:rPr>
          <w:rFonts w:ascii="Times New Roman" w:hAnsi="Times New Roman" w:cs="Times New Roman"/>
          <w:sz w:val="28"/>
          <w:szCs w:val="28"/>
        </w:rPr>
        <w:t>показатели</w:t>
      </w:r>
      <w:r w:rsidR="002862A1" w:rsidRPr="00840FA3">
        <w:rPr>
          <w:rFonts w:ascii="Times New Roman" w:hAnsi="Times New Roman" w:cs="Times New Roman"/>
          <w:sz w:val="28"/>
          <w:szCs w:val="28"/>
        </w:rPr>
        <w:t xml:space="preserve"> </w:t>
      </w:r>
      <w:r w:rsidR="00926B1C" w:rsidRPr="00840FA3">
        <w:rPr>
          <w:rFonts w:ascii="Times New Roman" w:hAnsi="Times New Roman" w:cs="Times New Roman"/>
          <w:sz w:val="28"/>
          <w:szCs w:val="28"/>
        </w:rPr>
        <w:t>заполнены</w:t>
      </w:r>
      <w:r w:rsidRPr="00840FA3">
        <w:rPr>
          <w:rFonts w:ascii="Times New Roman" w:hAnsi="Times New Roman" w:cs="Times New Roman"/>
          <w:sz w:val="28"/>
          <w:szCs w:val="28"/>
        </w:rPr>
        <w:t xml:space="preserve"> </w:t>
      </w:r>
      <w:r w:rsidR="00840FA3" w:rsidRPr="00840FA3">
        <w:rPr>
          <w:rFonts w:ascii="Times New Roman" w:hAnsi="Times New Roman" w:cs="Times New Roman"/>
          <w:sz w:val="28"/>
          <w:szCs w:val="28"/>
        </w:rPr>
        <w:t>субъектами мониторинга</w:t>
      </w:r>
      <w:r w:rsidRPr="00840FA3">
        <w:rPr>
          <w:rFonts w:ascii="Times New Roman" w:hAnsi="Times New Roman" w:cs="Times New Roman"/>
          <w:sz w:val="28"/>
          <w:szCs w:val="28"/>
        </w:rPr>
        <w:t xml:space="preserve">, </w:t>
      </w:r>
      <w:r w:rsidR="00840FA3" w:rsidRPr="00840FA3">
        <w:rPr>
          <w:rFonts w:ascii="Times New Roman" w:hAnsi="Times New Roman" w:cs="Times New Roman"/>
          <w:sz w:val="28"/>
          <w:szCs w:val="28"/>
        </w:rPr>
        <w:t>не являющимися</w:t>
      </w:r>
      <w:r w:rsidR="001E3552" w:rsidRPr="00840FA3">
        <w:rPr>
          <w:rFonts w:ascii="Times New Roman" w:hAnsi="Times New Roman" w:cs="Times New Roman"/>
          <w:sz w:val="28"/>
          <w:szCs w:val="28"/>
        </w:rPr>
        <w:t xml:space="preserve"> главными администраторами доходов бюджета</w:t>
      </w:r>
      <w:r w:rsidRPr="00840FA3">
        <w:rPr>
          <w:rFonts w:ascii="Times New Roman" w:hAnsi="Times New Roman" w:cs="Times New Roman"/>
          <w:sz w:val="28"/>
          <w:szCs w:val="28"/>
        </w:rPr>
        <w:t>;</w:t>
      </w:r>
      <w:r w:rsidR="001E3552" w:rsidRPr="00840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C3D" w:rsidRDefault="00FC2A1F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7F1BCE" w:rsidRPr="007A7497">
        <w:rPr>
          <w:rFonts w:ascii="Times New Roman" w:hAnsi="Times New Roman" w:cs="Times New Roman"/>
          <w:sz w:val="28"/>
          <w:szCs w:val="28"/>
        </w:rPr>
        <w:t xml:space="preserve"> разделе 1 </w:t>
      </w:r>
      <w:r w:rsidR="00486DE4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7F1BCE" w:rsidRPr="007A7497">
        <w:rPr>
          <w:rFonts w:ascii="Times New Roman" w:hAnsi="Times New Roman" w:cs="Times New Roman"/>
          <w:sz w:val="28"/>
          <w:szCs w:val="28"/>
        </w:rPr>
        <w:t>ф. 0503164 в структуре плановых (прогнозных) показателей по БК РФ при отсутствии прогноза поступлений по доходам в части непрогнозируемых администратором доходных источников показатели кассового исполнения отража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7F1BCE" w:rsidRPr="007A7497">
        <w:rPr>
          <w:rFonts w:ascii="Times New Roman" w:hAnsi="Times New Roman" w:cs="Times New Roman"/>
          <w:sz w:val="28"/>
          <w:szCs w:val="28"/>
        </w:rPr>
        <w:t>ся в структуре</w:t>
      </w:r>
      <w:r>
        <w:rPr>
          <w:rFonts w:ascii="Times New Roman" w:hAnsi="Times New Roman" w:cs="Times New Roman"/>
          <w:sz w:val="28"/>
          <w:szCs w:val="28"/>
        </w:rPr>
        <w:t xml:space="preserve">, отличной от структуры Отчета </w:t>
      </w:r>
      <w:r w:rsidR="007F1BCE" w:rsidRPr="007A7497">
        <w:rPr>
          <w:rFonts w:ascii="Times New Roman" w:hAnsi="Times New Roman" w:cs="Times New Roman"/>
          <w:sz w:val="28"/>
          <w:szCs w:val="28"/>
        </w:rPr>
        <w:t>ф. 0503127</w:t>
      </w:r>
      <w:r>
        <w:rPr>
          <w:rFonts w:ascii="Times New Roman" w:hAnsi="Times New Roman" w:cs="Times New Roman"/>
          <w:sz w:val="28"/>
          <w:szCs w:val="28"/>
        </w:rPr>
        <w:t>;</w:t>
      </w:r>
      <w:r w:rsidR="007F1BCE" w:rsidRPr="007A7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342" w:rsidRDefault="00286342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графа 7 раздела 1 Сведений ф. 0503164 не заполнена, несмотря на то, что имеются </w:t>
      </w:r>
      <w:r w:rsidR="00966F5D" w:rsidRPr="007A7497">
        <w:rPr>
          <w:rFonts w:ascii="Times New Roman" w:hAnsi="Times New Roman" w:cs="Times New Roman"/>
          <w:sz w:val="28"/>
          <w:szCs w:val="28"/>
        </w:rPr>
        <w:t>отклонени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66F5D" w:rsidRPr="007A7497">
        <w:rPr>
          <w:rFonts w:ascii="Times New Roman" w:hAnsi="Times New Roman" w:cs="Times New Roman"/>
          <w:sz w:val="28"/>
          <w:szCs w:val="28"/>
        </w:rPr>
        <w:t xml:space="preserve"> фактического исполнения доходов федерального бюджета от прогнозного поступления доходов в федеральный бюджет</w:t>
      </w:r>
      <w:r>
        <w:rPr>
          <w:rFonts w:ascii="Times New Roman" w:hAnsi="Times New Roman" w:cs="Times New Roman"/>
          <w:sz w:val="28"/>
          <w:szCs w:val="28"/>
        </w:rPr>
        <w:t>;</w:t>
      </w:r>
      <w:r w:rsidR="00966F5D" w:rsidRPr="007A7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F7" w:rsidRPr="007A7497" w:rsidRDefault="003F204C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1E3552" w:rsidRPr="007A7497">
        <w:rPr>
          <w:rFonts w:ascii="Times New Roman" w:hAnsi="Times New Roman" w:cs="Times New Roman"/>
          <w:sz w:val="28"/>
          <w:szCs w:val="28"/>
        </w:rPr>
        <w:t xml:space="preserve"> разделе 2 </w:t>
      </w:r>
      <w:r>
        <w:rPr>
          <w:rFonts w:ascii="Times New Roman" w:hAnsi="Times New Roman" w:cs="Times New Roman"/>
          <w:sz w:val="28"/>
          <w:szCs w:val="28"/>
        </w:rPr>
        <w:t xml:space="preserve">Сведений ф. 0503164 </w:t>
      </w:r>
      <w:r w:rsidR="001E3552" w:rsidRPr="007A7497">
        <w:rPr>
          <w:rFonts w:ascii="Times New Roman" w:hAnsi="Times New Roman" w:cs="Times New Roman"/>
          <w:sz w:val="28"/>
          <w:szCs w:val="28"/>
        </w:rPr>
        <w:t xml:space="preserve">отражены показатели, </w:t>
      </w:r>
      <w:r w:rsidRPr="007A7497">
        <w:rPr>
          <w:rFonts w:ascii="Times New Roman" w:hAnsi="Times New Roman" w:cs="Times New Roman"/>
          <w:sz w:val="28"/>
          <w:szCs w:val="28"/>
        </w:rPr>
        <w:t xml:space="preserve">по которым </w:t>
      </w:r>
      <w:r w:rsidRPr="007A7497">
        <w:rPr>
          <w:rFonts w:ascii="Times New Roman" w:hAnsi="Times New Roman" w:cs="Times New Roman"/>
          <w:sz w:val="28"/>
          <w:szCs w:val="28"/>
        </w:rPr>
        <w:lastRenderedPageBreak/>
        <w:t>исполнение бюджета составило более 20% от утвержденных годовых назначений</w:t>
      </w:r>
      <w:r w:rsidR="001E10C4">
        <w:rPr>
          <w:rFonts w:ascii="Times New Roman" w:hAnsi="Times New Roman" w:cs="Times New Roman"/>
          <w:sz w:val="28"/>
          <w:szCs w:val="28"/>
        </w:rPr>
        <w:t>;</w:t>
      </w:r>
      <w:r w:rsidR="00D82EF7" w:rsidRPr="007A7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EF7" w:rsidRPr="007A7497" w:rsidRDefault="00683A1C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2EF7" w:rsidRPr="007A7497">
        <w:rPr>
          <w:rFonts w:ascii="Times New Roman" w:hAnsi="Times New Roman" w:cs="Times New Roman"/>
          <w:sz w:val="28"/>
          <w:szCs w:val="28"/>
        </w:rPr>
        <w:t xml:space="preserve"> </w:t>
      </w:r>
      <w:r w:rsidR="007C3033">
        <w:rPr>
          <w:rFonts w:ascii="Times New Roman" w:hAnsi="Times New Roman" w:cs="Times New Roman"/>
          <w:sz w:val="28"/>
          <w:szCs w:val="28"/>
        </w:rPr>
        <w:t xml:space="preserve">в </w:t>
      </w:r>
      <w:r w:rsidR="00D82EF7" w:rsidRPr="007A7497">
        <w:rPr>
          <w:rFonts w:ascii="Times New Roman" w:hAnsi="Times New Roman" w:cs="Times New Roman"/>
          <w:sz w:val="28"/>
          <w:szCs w:val="28"/>
        </w:rPr>
        <w:t xml:space="preserve">разделе 2 </w:t>
      </w:r>
      <w:r>
        <w:rPr>
          <w:rFonts w:ascii="Times New Roman" w:hAnsi="Times New Roman" w:cs="Times New Roman"/>
          <w:sz w:val="28"/>
          <w:szCs w:val="28"/>
        </w:rPr>
        <w:t xml:space="preserve">Сведений ф. 0503164 </w:t>
      </w:r>
      <w:r w:rsidR="00D82EF7" w:rsidRPr="007A7497">
        <w:rPr>
          <w:rFonts w:ascii="Times New Roman" w:hAnsi="Times New Roman" w:cs="Times New Roman"/>
          <w:sz w:val="28"/>
          <w:szCs w:val="28"/>
        </w:rPr>
        <w:t>по показателям, по которым исполнение бюджета составило менее 20% от утвержденных годовых назначений, не отражен код и</w:t>
      </w:r>
      <w:r w:rsidR="007441BC">
        <w:rPr>
          <w:rFonts w:ascii="Times New Roman" w:hAnsi="Times New Roman" w:cs="Times New Roman"/>
          <w:sz w:val="28"/>
          <w:szCs w:val="28"/>
        </w:rPr>
        <w:t xml:space="preserve"> наименование причин отклонений;</w:t>
      </w:r>
    </w:p>
    <w:p w:rsidR="007441BC" w:rsidRPr="00985AD7" w:rsidRDefault="00A15D09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AD7">
        <w:rPr>
          <w:rFonts w:ascii="Times New Roman" w:hAnsi="Times New Roman" w:cs="Times New Roman"/>
          <w:sz w:val="28"/>
          <w:szCs w:val="28"/>
        </w:rPr>
        <w:t xml:space="preserve">- в графе 4 раздела 2 Сведений ф. 0503164 </w:t>
      </w:r>
      <w:r w:rsidR="00985AD7" w:rsidRPr="00840FA3">
        <w:rPr>
          <w:rFonts w:ascii="Times New Roman" w:hAnsi="Times New Roman" w:cs="Times New Roman"/>
          <w:sz w:val="28"/>
          <w:szCs w:val="28"/>
        </w:rPr>
        <w:t>показатели заполнены субъектами мониторинга, не являющимися</w:t>
      </w:r>
      <w:r w:rsidR="00985AD7" w:rsidRPr="009274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4BC7" w:rsidRPr="00985AD7">
        <w:rPr>
          <w:rFonts w:ascii="Times New Roman" w:hAnsi="Times New Roman" w:cs="Times New Roman"/>
          <w:sz w:val="28"/>
          <w:szCs w:val="28"/>
        </w:rPr>
        <w:t>ГРБС</w:t>
      </w:r>
      <w:r w:rsidR="00AC205B" w:rsidRPr="00985AD7">
        <w:rPr>
          <w:rFonts w:ascii="Times New Roman" w:hAnsi="Times New Roman" w:cs="Times New Roman"/>
          <w:sz w:val="28"/>
          <w:szCs w:val="28"/>
        </w:rPr>
        <w:t xml:space="preserve"> </w:t>
      </w:r>
      <w:r w:rsidRPr="00985AD7">
        <w:rPr>
          <w:rFonts w:ascii="Times New Roman" w:hAnsi="Times New Roman" w:cs="Times New Roman"/>
          <w:sz w:val="28"/>
          <w:szCs w:val="28"/>
        </w:rPr>
        <w:t>или распорядителями бюджетных средств</w:t>
      </w:r>
      <w:r w:rsidR="00AC205B" w:rsidRPr="00985AD7">
        <w:rPr>
          <w:rFonts w:ascii="Times New Roman" w:hAnsi="Times New Roman" w:cs="Times New Roman"/>
          <w:sz w:val="28"/>
          <w:szCs w:val="28"/>
        </w:rPr>
        <w:t>;</w:t>
      </w:r>
    </w:p>
    <w:p w:rsidR="007441BC" w:rsidRDefault="00C7542D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показатель итоговой строки 200 Сведений ф. 0503164 не соответствует показателю </w:t>
      </w:r>
      <w:r w:rsidR="001B0FEA">
        <w:rPr>
          <w:rFonts w:ascii="Times New Roman" w:hAnsi="Times New Roman" w:cs="Times New Roman"/>
          <w:sz w:val="28"/>
          <w:szCs w:val="28"/>
        </w:rPr>
        <w:t>итоговой строки 200 Отчета ф. 0503127</w:t>
      </w:r>
      <w:r w:rsidR="00ED6A7C">
        <w:rPr>
          <w:rFonts w:ascii="Times New Roman" w:hAnsi="Times New Roman" w:cs="Times New Roman"/>
          <w:sz w:val="28"/>
          <w:szCs w:val="28"/>
        </w:rPr>
        <w:t>;</w:t>
      </w:r>
    </w:p>
    <w:p w:rsidR="00CF772A" w:rsidRPr="001F7E75" w:rsidRDefault="00ED6A7C" w:rsidP="00ED6A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72A">
        <w:rPr>
          <w:rFonts w:ascii="Times New Roman" w:hAnsi="Times New Roman" w:cs="Times New Roman"/>
          <w:sz w:val="28"/>
          <w:szCs w:val="28"/>
        </w:rPr>
        <w:t xml:space="preserve">- </w:t>
      </w:r>
      <w:r w:rsidR="008F4246" w:rsidRPr="00CF772A">
        <w:rPr>
          <w:rFonts w:ascii="Times New Roman" w:hAnsi="Times New Roman" w:cs="Times New Roman"/>
          <w:sz w:val="28"/>
          <w:szCs w:val="28"/>
        </w:rPr>
        <w:t xml:space="preserve">в графе 3 раздела 2 </w:t>
      </w:r>
      <w:r w:rsidRPr="00CF772A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8F4246" w:rsidRPr="00CF772A">
        <w:rPr>
          <w:rFonts w:ascii="Times New Roman" w:hAnsi="Times New Roman" w:cs="Times New Roman"/>
          <w:sz w:val="28"/>
          <w:szCs w:val="28"/>
        </w:rPr>
        <w:t>ф. 0503164</w:t>
      </w:r>
      <w:r w:rsidR="00CF772A">
        <w:rPr>
          <w:rFonts w:ascii="Times New Roman" w:hAnsi="Times New Roman" w:cs="Times New Roman"/>
          <w:sz w:val="28"/>
          <w:szCs w:val="28"/>
        </w:rPr>
        <w:t xml:space="preserve"> </w:t>
      </w:r>
      <w:r w:rsidR="00CF772A" w:rsidRPr="001F7E75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311A24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CF772A" w:rsidRPr="001F7E75">
        <w:rPr>
          <w:rFonts w:ascii="Times New Roman" w:hAnsi="Times New Roman" w:cs="Times New Roman"/>
          <w:sz w:val="28"/>
          <w:szCs w:val="28"/>
        </w:rPr>
        <w:t>годовые объемы утвержденных бюджетных ассигнований</w:t>
      </w:r>
      <w:r w:rsidR="00311A24">
        <w:rPr>
          <w:rFonts w:ascii="Times New Roman" w:hAnsi="Times New Roman" w:cs="Times New Roman"/>
          <w:sz w:val="28"/>
          <w:szCs w:val="28"/>
        </w:rPr>
        <w:t xml:space="preserve"> (далее – БА)</w:t>
      </w:r>
      <w:r w:rsidR="001F7E75" w:rsidRPr="001F7E75">
        <w:rPr>
          <w:rFonts w:ascii="Times New Roman" w:hAnsi="Times New Roman" w:cs="Times New Roman"/>
          <w:sz w:val="28"/>
          <w:szCs w:val="28"/>
        </w:rPr>
        <w:t xml:space="preserve">, </w:t>
      </w:r>
      <w:r w:rsidR="00311A24">
        <w:rPr>
          <w:rFonts w:ascii="Times New Roman" w:hAnsi="Times New Roman" w:cs="Times New Roman"/>
          <w:sz w:val="28"/>
          <w:szCs w:val="28"/>
        </w:rPr>
        <w:t xml:space="preserve">между тем в указанной графе должны отражаться </w:t>
      </w:r>
      <w:r w:rsidR="004A3939">
        <w:rPr>
          <w:rFonts w:ascii="Times New Roman" w:hAnsi="Times New Roman" w:cs="Times New Roman"/>
          <w:sz w:val="28"/>
          <w:szCs w:val="28"/>
        </w:rPr>
        <w:t xml:space="preserve">и </w:t>
      </w:r>
      <w:r w:rsidR="00311A24">
        <w:rPr>
          <w:rFonts w:ascii="Times New Roman" w:hAnsi="Times New Roman" w:cs="Times New Roman"/>
          <w:sz w:val="28"/>
          <w:szCs w:val="28"/>
        </w:rPr>
        <w:t>БА</w:t>
      </w:r>
      <w:r w:rsidR="004A3939">
        <w:rPr>
          <w:rFonts w:ascii="Times New Roman" w:hAnsi="Times New Roman" w:cs="Times New Roman"/>
          <w:sz w:val="28"/>
          <w:szCs w:val="28"/>
        </w:rPr>
        <w:t>,</w:t>
      </w:r>
      <w:r w:rsidR="00311A24">
        <w:rPr>
          <w:rFonts w:ascii="Times New Roman" w:hAnsi="Times New Roman" w:cs="Times New Roman"/>
          <w:sz w:val="28"/>
          <w:szCs w:val="28"/>
        </w:rPr>
        <w:t xml:space="preserve"> и</w:t>
      </w:r>
      <w:r w:rsidR="00CF772A" w:rsidRPr="001F7E75">
        <w:rPr>
          <w:rFonts w:ascii="Times New Roman" w:hAnsi="Times New Roman" w:cs="Times New Roman"/>
          <w:sz w:val="28"/>
          <w:szCs w:val="28"/>
        </w:rPr>
        <w:t xml:space="preserve"> </w:t>
      </w:r>
      <w:r w:rsidR="00CF772A" w:rsidRPr="001F7E75">
        <w:rPr>
          <w:rFonts w:ascii="Times New Roman" w:hAnsi="Times New Roman" w:cs="Times New Roman"/>
          <w:sz w:val="28"/>
          <w:szCs w:val="28"/>
        </w:rPr>
        <w:t>лимиты бюджетных обязательств на текущий (отчетный) финансовый год.</w:t>
      </w:r>
    </w:p>
    <w:p w:rsidR="001E3552" w:rsidRPr="000C0549" w:rsidRDefault="001E3552" w:rsidP="00EE06C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0549">
        <w:rPr>
          <w:rFonts w:ascii="Times New Roman" w:hAnsi="Times New Roman" w:cs="Times New Roman"/>
          <w:b/>
          <w:i/>
          <w:sz w:val="28"/>
          <w:szCs w:val="28"/>
        </w:rPr>
        <w:t>Форм</w:t>
      </w:r>
      <w:r w:rsidR="006C20C6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0C0549">
        <w:rPr>
          <w:rFonts w:ascii="Times New Roman" w:hAnsi="Times New Roman" w:cs="Times New Roman"/>
          <w:b/>
          <w:i/>
          <w:sz w:val="28"/>
          <w:szCs w:val="28"/>
        </w:rPr>
        <w:t xml:space="preserve"> 0503178 «Сведения об остатках денежных средств на счетах получателя бюджетных средств»</w:t>
      </w:r>
      <w:r w:rsidR="00F643FB">
        <w:rPr>
          <w:rFonts w:ascii="Times New Roman" w:hAnsi="Times New Roman" w:cs="Times New Roman"/>
          <w:b/>
          <w:i/>
          <w:sz w:val="28"/>
          <w:szCs w:val="28"/>
        </w:rPr>
        <w:t xml:space="preserve"> (далее – Сведения ф. 0503178)</w:t>
      </w:r>
      <w:r w:rsidRPr="000C0549">
        <w:rPr>
          <w:rFonts w:ascii="Times New Roman" w:hAnsi="Times New Roman" w:cs="Times New Roman"/>
          <w:b/>
          <w:i/>
          <w:sz w:val="28"/>
          <w:szCs w:val="28"/>
        </w:rPr>
        <w:t>, 0503779 «Сведения об остатках денежных средств учреждения»</w:t>
      </w:r>
      <w:r w:rsidR="006875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643FB">
        <w:rPr>
          <w:rFonts w:ascii="Times New Roman" w:hAnsi="Times New Roman" w:cs="Times New Roman"/>
          <w:b/>
          <w:i/>
          <w:sz w:val="28"/>
          <w:szCs w:val="28"/>
        </w:rPr>
        <w:t>(далее – Сведения ф. 0503779)</w:t>
      </w:r>
      <w:r w:rsidRPr="000C054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607F5" w:rsidRDefault="00B33E14" w:rsidP="00A607F5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470A">
        <w:rPr>
          <w:rFonts w:ascii="Times New Roman" w:hAnsi="Times New Roman" w:cs="Times New Roman"/>
          <w:sz w:val="28"/>
          <w:szCs w:val="28"/>
        </w:rPr>
        <w:t xml:space="preserve">в </w:t>
      </w:r>
      <w:r w:rsidR="0064470A" w:rsidRPr="001E3552">
        <w:rPr>
          <w:rFonts w:ascii="Times New Roman" w:hAnsi="Times New Roman" w:cs="Times New Roman"/>
          <w:sz w:val="28"/>
          <w:szCs w:val="28"/>
        </w:rPr>
        <w:t>гр</w:t>
      </w:r>
      <w:r w:rsidR="0064470A">
        <w:rPr>
          <w:rFonts w:ascii="Times New Roman" w:hAnsi="Times New Roman" w:cs="Times New Roman"/>
          <w:sz w:val="28"/>
          <w:szCs w:val="28"/>
        </w:rPr>
        <w:t xml:space="preserve">афе </w:t>
      </w:r>
      <w:r w:rsidR="0064470A" w:rsidRPr="001E3552">
        <w:rPr>
          <w:rFonts w:ascii="Times New Roman" w:hAnsi="Times New Roman" w:cs="Times New Roman"/>
          <w:sz w:val="28"/>
          <w:szCs w:val="28"/>
        </w:rPr>
        <w:t>1 раздела 2</w:t>
      </w:r>
      <w:r w:rsidR="0064470A">
        <w:rPr>
          <w:rFonts w:ascii="Times New Roman" w:hAnsi="Times New Roman" w:cs="Times New Roman"/>
          <w:sz w:val="28"/>
          <w:szCs w:val="28"/>
        </w:rPr>
        <w:t xml:space="preserve"> </w:t>
      </w:r>
      <w:r w:rsidR="00F643FB">
        <w:rPr>
          <w:rFonts w:ascii="Times New Roman" w:hAnsi="Times New Roman" w:cs="Times New Roman"/>
          <w:sz w:val="28"/>
          <w:szCs w:val="28"/>
        </w:rPr>
        <w:t>Сведени</w:t>
      </w:r>
      <w:r w:rsidR="0064470A">
        <w:rPr>
          <w:rFonts w:ascii="Times New Roman" w:hAnsi="Times New Roman" w:cs="Times New Roman"/>
          <w:sz w:val="28"/>
          <w:szCs w:val="28"/>
        </w:rPr>
        <w:t>й</w:t>
      </w:r>
      <w:r w:rsidR="00F643FB">
        <w:rPr>
          <w:rFonts w:ascii="Times New Roman" w:hAnsi="Times New Roman" w:cs="Times New Roman"/>
          <w:sz w:val="28"/>
          <w:szCs w:val="28"/>
        </w:rPr>
        <w:t xml:space="preserve"> ф. 0503178</w:t>
      </w:r>
      <w:r w:rsidR="00A607F5">
        <w:rPr>
          <w:rFonts w:ascii="Times New Roman" w:hAnsi="Times New Roman" w:cs="Times New Roman"/>
          <w:sz w:val="28"/>
          <w:szCs w:val="28"/>
        </w:rPr>
        <w:t xml:space="preserve">, </w:t>
      </w:r>
      <w:r w:rsidR="00F643FB">
        <w:rPr>
          <w:rFonts w:ascii="Times New Roman" w:hAnsi="Times New Roman" w:cs="Times New Roman"/>
          <w:sz w:val="28"/>
          <w:szCs w:val="28"/>
        </w:rPr>
        <w:t xml:space="preserve"> </w:t>
      </w:r>
      <w:r w:rsidR="00A607F5" w:rsidRPr="001E3552">
        <w:rPr>
          <w:rFonts w:ascii="Times New Roman" w:hAnsi="Times New Roman" w:cs="Times New Roman"/>
          <w:sz w:val="28"/>
          <w:szCs w:val="28"/>
        </w:rPr>
        <w:t>ф</w:t>
      </w:r>
      <w:r w:rsidR="00A607F5">
        <w:rPr>
          <w:rFonts w:ascii="Times New Roman" w:hAnsi="Times New Roman" w:cs="Times New Roman"/>
          <w:sz w:val="28"/>
          <w:szCs w:val="28"/>
        </w:rPr>
        <w:t xml:space="preserve">. </w:t>
      </w:r>
      <w:r w:rsidR="00A607F5" w:rsidRPr="001E3552">
        <w:rPr>
          <w:rFonts w:ascii="Times New Roman" w:hAnsi="Times New Roman" w:cs="Times New Roman"/>
          <w:sz w:val="28"/>
          <w:szCs w:val="28"/>
        </w:rPr>
        <w:t xml:space="preserve">0503779 </w:t>
      </w:r>
      <w:r>
        <w:rPr>
          <w:rFonts w:ascii="Times New Roman" w:hAnsi="Times New Roman" w:cs="Times New Roman"/>
          <w:sz w:val="28"/>
          <w:szCs w:val="28"/>
        </w:rPr>
        <w:t xml:space="preserve">некорректно </w:t>
      </w:r>
      <w:r w:rsidR="001E3552" w:rsidRPr="001E3552">
        <w:rPr>
          <w:rFonts w:ascii="Times New Roman" w:hAnsi="Times New Roman" w:cs="Times New Roman"/>
          <w:sz w:val="28"/>
          <w:szCs w:val="28"/>
        </w:rPr>
        <w:t>заполнен</w:t>
      </w:r>
      <w:r>
        <w:rPr>
          <w:rFonts w:ascii="Times New Roman" w:hAnsi="Times New Roman" w:cs="Times New Roman"/>
          <w:sz w:val="28"/>
          <w:szCs w:val="28"/>
        </w:rPr>
        <w:t xml:space="preserve"> номер счета</w:t>
      </w:r>
      <w:r w:rsidR="000F093F">
        <w:rPr>
          <w:rFonts w:ascii="Times New Roman" w:hAnsi="Times New Roman" w:cs="Times New Roman"/>
          <w:sz w:val="28"/>
          <w:szCs w:val="28"/>
        </w:rPr>
        <w:t xml:space="preserve"> - </w:t>
      </w:r>
      <w:r w:rsidR="000F093F">
        <w:rPr>
          <w:rFonts w:ascii="Times New Roman" w:hAnsi="Times New Roman" w:cs="Times New Roman"/>
          <w:sz w:val="28"/>
          <w:szCs w:val="28"/>
        </w:rPr>
        <w:t>не соблюдена</w:t>
      </w:r>
      <w:r w:rsidR="000F093F">
        <w:rPr>
          <w:rFonts w:ascii="Times New Roman" w:hAnsi="Times New Roman" w:cs="Times New Roman"/>
          <w:sz w:val="28"/>
          <w:szCs w:val="28"/>
        </w:rPr>
        <w:t xml:space="preserve"> </w:t>
      </w:r>
      <w:r w:rsidR="00DC745C">
        <w:rPr>
          <w:rFonts w:ascii="Times New Roman" w:hAnsi="Times New Roman" w:cs="Times New Roman"/>
          <w:sz w:val="28"/>
          <w:szCs w:val="28"/>
        </w:rPr>
        <w:t>структура номера счета</w:t>
      </w:r>
      <w:r w:rsidR="007A749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07F5" w:rsidRPr="00A607F5" w:rsidRDefault="00A607F5" w:rsidP="00A607F5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1BEE">
        <w:rPr>
          <w:rFonts w:ascii="Times New Roman" w:hAnsi="Times New Roman" w:cs="Times New Roman"/>
          <w:sz w:val="28"/>
          <w:szCs w:val="28"/>
        </w:rPr>
        <w:t>показатель</w:t>
      </w:r>
      <w:r w:rsidRPr="00A607F5">
        <w:rPr>
          <w:rFonts w:ascii="Times New Roman" w:hAnsi="Times New Roman" w:cs="Times New Roman"/>
          <w:sz w:val="28"/>
          <w:szCs w:val="28"/>
        </w:rPr>
        <w:t xml:space="preserve"> изменения остатков денежных средств на счетах в финансовом органе </w:t>
      </w:r>
      <w:r>
        <w:rPr>
          <w:rFonts w:ascii="Times New Roman" w:hAnsi="Times New Roman" w:cs="Times New Roman"/>
          <w:sz w:val="28"/>
          <w:szCs w:val="28"/>
        </w:rPr>
        <w:t>в Сведениях</w:t>
      </w:r>
      <w:r w:rsidRPr="00A607F5">
        <w:rPr>
          <w:rFonts w:ascii="Times New Roman" w:hAnsi="Times New Roman" w:cs="Times New Roman"/>
          <w:sz w:val="28"/>
          <w:szCs w:val="28"/>
        </w:rPr>
        <w:t xml:space="preserve"> ф. 0503779 не соответствует идентичному показателю в Отчете </w:t>
      </w:r>
      <w:r w:rsidR="00BC1BEE">
        <w:rPr>
          <w:rFonts w:ascii="Times New Roman" w:hAnsi="Times New Roman" w:cs="Times New Roman"/>
          <w:sz w:val="28"/>
          <w:szCs w:val="28"/>
        </w:rPr>
        <w:t xml:space="preserve">ф. </w:t>
      </w:r>
      <w:r w:rsidRPr="00A607F5">
        <w:rPr>
          <w:rFonts w:ascii="Times New Roman" w:hAnsi="Times New Roman" w:cs="Times New Roman"/>
          <w:sz w:val="28"/>
          <w:szCs w:val="28"/>
        </w:rPr>
        <w:t>0503737.</w:t>
      </w:r>
    </w:p>
    <w:p w:rsidR="001E3552" w:rsidRPr="006C20C6" w:rsidRDefault="001E3552" w:rsidP="00EE06C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20C6">
        <w:rPr>
          <w:rFonts w:ascii="Times New Roman" w:hAnsi="Times New Roman" w:cs="Times New Roman"/>
          <w:b/>
          <w:i/>
          <w:sz w:val="28"/>
          <w:szCs w:val="28"/>
        </w:rPr>
        <w:t>Форм</w:t>
      </w:r>
      <w:r w:rsidR="00D244A5" w:rsidRPr="006C20C6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6C20C6">
        <w:rPr>
          <w:rFonts w:ascii="Times New Roman" w:hAnsi="Times New Roman" w:cs="Times New Roman"/>
          <w:b/>
          <w:i/>
          <w:sz w:val="28"/>
          <w:szCs w:val="28"/>
        </w:rPr>
        <w:t xml:space="preserve"> 0503160 «Пояснительная записка»</w:t>
      </w:r>
      <w:r w:rsidR="006C20C6">
        <w:rPr>
          <w:rFonts w:ascii="Times New Roman" w:hAnsi="Times New Roman" w:cs="Times New Roman"/>
          <w:b/>
          <w:i/>
          <w:sz w:val="28"/>
          <w:szCs w:val="28"/>
        </w:rPr>
        <w:t xml:space="preserve"> (далее – ф. 0503160)</w:t>
      </w:r>
      <w:r w:rsidRPr="006C20C6">
        <w:rPr>
          <w:rFonts w:ascii="Times New Roman" w:hAnsi="Times New Roman" w:cs="Times New Roman"/>
          <w:b/>
          <w:i/>
          <w:sz w:val="28"/>
          <w:szCs w:val="28"/>
        </w:rPr>
        <w:t>, 0503760 «Пояснительная записка к балансу учреждения»</w:t>
      </w:r>
      <w:r w:rsidR="006C20C6">
        <w:rPr>
          <w:rFonts w:ascii="Times New Roman" w:hAnsi="Times New Roman" w:cs="Times New Roman"/>
          <w:b/>
          <w:i/>
          <w:sz w:val="28"/>
          <w:szCs w:val="28"/>
        </w:rPr>
        <w:t xml:space="preserve"> (далее – ф. 0503760)</w:t>
      </w:r>
      <w:r w:rsidRPr="006C20C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1782B" w:rsidRDefault="0071782B" w:rsidP="00096D7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E3552" w:rsidRPr="001E3552">
        <w:rPr>
          <w:rFonts w:ascii="Times New Roman" w:hAnsi="Times New Roman" w:cs="Times New Roman"/>
          <w:sz w:val="28"/>
          <w:szCs w:val="28"/>
        </w:rPr>
        <w:t>е соблюден</w:t>
      </w:r>
      <w:r w:rsidR="000411BF">
        <w:rPr>
          <w:rFonts w:ascii="Times New Roman" w:hAnsi="Times New Roman" w:cs="Times New Roman"/>
          <w:sz w:val="28"/>
          <w:szCs w:val="28"/>
        </w:rPr>
        <w:t>ы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A07CB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1E3552" w:rsidRPr="001E3552">
        <w:rPr>
          <w:rFonts w:ascii="Times New Roman" w:hAnsi="Times New Roman" w:cs="Times New Roman"/>
          <w:sz w:val="28"/>
          <w:szCs w:val="28"/>
        </w:rPr>
        <w:t>структур</w:t>
      </w:r>
      <w:r w:rsidR="00A07CBD">
        <w:rPr>
          <w:rFonts w:ascii="Times New Roman" w:hAnsi="Times New Roman" w:cs="Times New Roman"/>
          <w:sz w:val="28"/>
          <w:szCs w:val="28"/>
        </w:rPr>
        <w:t>е</w:t>
      </w:r>
      <w:r w:rsidR="00B345BE">
        <w:rPr>
          <w:rFonts w:ascii="Times New Roman" w:hAnsi="Times New Roman" w:cs="Times New Roman"/>
          <w:sz w:val="28"/>
          <w:szCs w:val="28"/>
        </w:rPr>
        <w:t xml:space="preserve"> </w:t>
      </w:r>
      <w:r w:rsidR="00B345BE" w:rsidRPr="00B345BE">
        <w:rPr>
          <w:rFonts w:ascii="Times New Roman" w:hAnsi="Times New Roman" w:cs="Times New Roman"/>
          <w:sz w:val="28"/>
          <w:szCs w:val="28"/>
        </w:rPr>
        <w:t>ф. 0503160</w:t>
      </w:r>
      <w:r w:rsidR="00712BED">
        <w:rPr>
          <w:rFonts w:ascii="Times New Roman" w:hAnsi="Times New Roman" w:cs="Times New Roman"/>
          <w:sz w:val="28"/>
          <w:szCs w:val="28"/>
        </w:rPr>
        <w:t xml:space="preserve">, </w:t>
      </w:r>
      <w:r w:rsidR="00B25935">
        <w:rPr>
          <w:rFonts w:ascii="Times New Roman" w:hAnsi="Times New Roman" w:cs="Times New Roman"/>
          <w:sz w:val="28"/>
          <w:szCs w:val="28"/>
        </w:rPr>
        <w:t>составляемой в разрезе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A07CBD" w:rsidRPr="002B5DBC">
        <w:rPr>
          <w:rFonts w:ascii="Times New Roman" w:hAnsi="Times New Roman" w:cs="Times New Roman"/>
          <w:color w:val="000000"/>
          <w:sz w:val="28"/>
          <w:szCs w:val="28"/>
        </w:rPr>
        <w:t>5 разделов</w:t>
      </w:r>
      <w:r w:rsidR="00A07CBD">
        <w:rPr>
          <w:rFonts w:ascii="Times New Roman" w:hAnsi="Times New Roman" w:cs="Times New Roman"/>
          <w:sz w:val="28"/>
          <w:szCs w:val="28"/>
        </w:rPr>
        <w:t>;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CA1" w:rsidRDefault="0071782B" w:rsidP="00CF4CA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73B7">
        <w:rPr>
          <w:rFonts w:ascii="Times New Roman" w:hAnsi="Times New Roman" w:cs="Times New Roman"/>
          <w:sz w:val="28"/>
          <w:szCs w:val="28"/>
        </w:rPr>
        <w:t>отсутствует</w:t>
      </w:r>
      <w:r w:rsidR="001E3552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CF4CA1">
        <w:rPr>
          <w:rFonts w:ascii="Times New Roman" w:hAnsi="Times New Roman" w:cs="Times New Roman"/>
          <w:sz w:val="28"/>
          <w:szCs w:val="28"/>
        </w:rPr>
        <w:t xml:space="preserve">перечень форм Отчетности, не включенных в состав </w:t>
      </w:r>
      <w:r w:rsidR="00BF4069">
        <w:rPr>
          <w:rFonts w:ascii="Times New Roman" w:hAnsi="Times New Roman" w:cs="Times New Roman"/>
          <w:sz w:val="28"/>
          <w:szCs w:val="28"/>
        </w:rPr>
        <w:t>Отчетности</w:t>
      </w:r>
      <w:r w:rsidR="00CF4CA1">
        <w:rPr>
          <w:rFonts w:ascii="Times New Roman" w:hAnsi="Times New Roman" w:cs="Times New Roman"/>
          <w:sz w:val="28"/>
          <w:szCs w:val="28"/>
        </w:rPr>
        <w:t xml:space="preserve"> ввиду отсутстви</w:t>
      </w:r>
      <w:r w:rsidR="009C4230">
        <w:rPr>
          <w:rFonts w:ascii="Times New Roman" w:hAnsi="Times New Roman" w:cs="Times New Roman"/>
          <w:sz w:val="28"/>
          <w:szCs w:val="28"/>
        </w:rPr>
        <w:t>я числовых значений показателей.</w:t>
      </w:r>
    </w:p>
    <w:p w:rsidR="00CA5D24" w:rsidRPr="009206C5" w:rsidRDefault="00CA5D24" w:rsidP="00096D7C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206C5">
        <w:rPr>
          <w:noProof/>
          <w:sz w:val="20"/>
          <w:lang w:eastAsia="ru-RU"/>
        </w:rPr>
        <w:lastRenderedPageBreak/>
        <w:drawing>
          <wp:inline distT="0" distB="0" distL="0" distR="0" wp14:anchorId="13B20BF3" wp14:editId="30811A48">
            <wp:extent cx="6073140" cy="4488180"/>
            <wp:effectExtent l="0" t="0" r="3810" b="762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CA5D24" w:rsidRPr="009206C5" w:rsidSect="00BD615B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C3" w:rsidRDefault="009252C3" w:rsidP="00B6068A">
      <w:pPr>
        <w:spacing w:after="0" w:line="240" w:lineRule="auto"/>
      </w:pPr>
      <w:r>
        <w:separator/>
      </w:r>
    </w:p>
  </w:endnote>
  <w:endnote w:type="continuationSeparator" w:id="0">
    <w:p w:rsidR="009252C3" w:rsidRDefault="009252C3" w:rsidP="00B6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C3" w:rsidRDefault="009252C3" w:rsidP="00B6068A">
      <w:pPr>
        <w:spacing w:after="0" w:line="240" w:lineRule="auto"/>
      </w:pPr>
      <w:r>
        <w:separator/>
      </w:r>
    </w:p>
  </w:footnote>
  <w:footnote w:type="continuationSeparator" w:id="0">
    <w:p w:rsidR="009252C3" w:rsidRDefault="009252C3" w:rsidP="00B60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915736"/>
      <w:docPartObj>
        <w:docPartGallery w:val="Page Numbers (Top of Page)"/>
        <w:docPartUnique/>
      </w:docPartObj>
    </w:sdtPr>
    <w:sdtEndPr/>
    <w:sdtContent>
      <w:p w:rsidR="00977A72" w:rsidRDefault="00977A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212">
          <w:rPr>
            <w:noProof/>
          </w:rPr>
          <w:t>2</w:t>
        </w:r>
        <w:r>
          <w:fldChar w:fldCharType="end"/>
        </w:r>
      </w:p>
    </w:sdtContent>
  </w:sdt>
  <w:p w:rsidR="00977A72" w:rsidRDefault="00977A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B9D"/>
    <w:multiLevelType w:val="hybridMultilevel"/>
    <w:tmpl w:val="83BA1886"/>
    <w:lvl w:ilvl="0" w:tplc="54A47B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B125E7"/>
    <w:multiLevelType w:val="hybridMultilevel"/>
    <w:tmpl w:val="F4D0504A"/>
    <w:lvl w:ilvl="0" w:tplc="92E60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97D25"/>
    <w:multiLevelType w:val="hybridMultilevel"/>
    <w:tmpl w:val="F4D0504A"/>
    <w:lvl w:ilvl="0" w:tplc="92E60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C28CB"/>
    <w:multiLevelType w:val="hybridMultilevel"/>
    <w:tmpl w:val="878EEE50"/>
    <w:lvl w:ilvl="0" w:tplc="62281F2A">
      <w:start w:val="1"/>
      <w:numFmt w:val="decimal"/>
      <w:lvlText w:val="%1."/>
      <w:lvlJc w:val="left"/>
      <w:pPr>
        <w:ind w:left="107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F2101C2"/>
    <w:multiLevelType w:val="hybridMultilevel"/>
    <w:tmpl w:val="F4D0504A"/>
    <w:lvl w:ilvl="0" w:tplc="92E60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631F7"/>
    <w:multiLevelType w:val="hybridMultilevel"/>
    <w:tmpl w:val="F4D0504A"/>
    <w:lvl w:ilvl="0" w:tplc="92E60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A9"/>
    <w:rsid w:val="00000B81"/>
    <w:rsid w:val="00000DC2"/>
    <w:rsid w:val="00011FAD"/>
    <w:rsid w:val="000128CF"/>
    <w:rsid w:val="00012CF0"/>
    <w:rsid w:val="00015E3C"/>
    <w:rsid w:val="000247F6"/>
    <w:rsid w:val="00025D4B"/>
    <w:rsid w:val="0002746C"/>
    <w:rsid w:val="0003056C"/>
    <w:rsid w:val="000311F0"/>
    <w:rsid w:val="000411BF"/>
    <w:rsid w:val="00050C69"/>
    <w:rsid w:val="00052B85"/>
    <w:rsid w:val="0006597D"/>
    <w:rsid w:val="000711E5"/>
    <w:rsid w:val="000749EE"/>
    <w:rsid w:val="00075C0D"/>
    <w:rsid w:val="00077F62"/>
    <w:rsid w:val="000835E4"/>
    <w:rsid w:val="00096D7C"/>
    <w:rsid w:val="000A1A89"/>
    <w:rsid w:val="000C0549"/>
    <w:rsid w:val="000C137D"/>
    <w:rsid w:val="000C16FE"/>
    <w:rsid w:val="000C2DE5"/>
    <w:rsid w:val="000D2457"/>
    <w:rsid w:val="000D4D17"/>
    <w:rsid w:val="000D68F0"/>
    <w:rsid w:val="000D730D"/>
    <w:rsid w:val="000F083D"/>
    <w:rsid w:val="000F093F"/>
    <w:rsid w:val="000F26DE"/>
    <w:rsid w:val="00101C81"/>
    <w:rsid w:val="00104E74"/>
    <w:rsid w:val="00106BD1"/>
    <w:rsid w:val="00113212"/>
    <w:rsid w:val="001251FD"/>
    <w:rsid w:val="0012546A"/>
    <w:rsid w:val="0013146C"/>
    <w:rsid w:val="00140FB4"/>
    <w:rsid w:val="001418C5"/>
    <w:rsid w:val="00143B54"/>
    <w:rsid w:val="00144741"/>
    <w:rsid w:val="00147046"/>
    <w:rsid w:val="001642D3"/>
    <w:rsid w:val="001661E1"/>
    <w:rsid w:val="00167B3F"/>
    <w:rsid w:val="00173F65"/>
    <w:rsid w:val="001852FC"/>
    <w:rsid w:val="00185F5F"/>
    <w:rsid w:val="0019136F"/>
    <w:rsid w:val="00194F44"/>
    <w:rsid w:val="00195FE2"/>
    <w:rsid w:val="001A0494"/>
    <w:rsid w:val="001A1542"/>
    <w:rsid w:val="001A56EF"/>
    <w:rsid w:val="001B0FEA"/>
    <w:rsid w:val="001B103C"/>
    <w:rsid w:val="001B79B6"/>
    <w:rsid w:val="001C1535"/>
    <w:rsid w:val="001C206B"/>
    <w:rsid w:val="001C326B"/>
    <w:rsid w:val="001D42FF"/>
    <w:rsid w:val="001D4D8F"/>
    <w:rsid w:val="001E10C4"/>
    <w:rsid w:val="001E18EE"/>
    <w:rsid w:val="001E3552"/>
    <w:rsid w:val="001F2F2D"/>
    <w:rsid w:val="001F7E75"/>
    <w:rsid w:val="00200875"/>
    <w:rsid w:val="00203561"/>
    <w:rsid w:val="00212CCD"/>
    <w:rsid w:val="002143D2"/>
    <w:rsid w:val="00214EDC"/>
    <w:rsid w:val="0022212C"/>
    <w:rsid w:val="00225A7C"/>
    <w:rsid w:val="002323BD"/>
    <w:rsid w:val="00233B56"/>
    <w:rsid w:val="0023693D"/>
    <w:rsid w:val="0024097A"/>
    <w:rsid w:val="002414A4"/>
    <w:rsid w:val="00244068"/>
    <w:rsid w:val="00244532"/>
    <w:rsid w:val="0025320E"/>
    <w:rsid w:val="002544C5"/>
    <w:rsid w:val="00262340"/>
    <w:rsid w:val="00262684"/>
    <w:rsid w:val="00270854"/>
    <w:rsid w:val="002719C7"/>
    <w:rsid w:val="00272DD3"/>
    <w:rsid w:val="00280FC3"/>
    <w:rsid w:val="0028353D"/>
    <w:rsid w:val="002841BA"/>
    <w:rsid w:val="00284B27"/>
    <w:rsid w:val="002862A1"/>
    <w:rsid w:val="00286342"/>
    <w:rsid w:val="002A00BB"/>
    <w:rsid w:val="002A21B9"/>
    <w:rsid w:val="002C63A5"/>
    <w:rsid w:val="002C6A50"/>
    <w:rsid w:val="002D210D"/>
    <w:rsid w:val="002D3FEA"/>
    <w:rsid w:val="002D5AD6"/>
    <w:rsid w:val="002E27E7"/>
    <w:rsid w:val="002E4227"/>
    <w:rsid w:val="002F28CB"/>
    <w:rsid w:val="002F3E6F"/>
    <w:rsid w:val="002F743F"/>
    <w:rsid w:val="003048E6"/>
    <w:rsid w:val="00311A24"/>
    <w:rsid w:val="00313023"/>
    <w:rsid w:val="00313F05"/>
    <w:rsid w:val="00330BF7"/>
    <w:rsid w:val="00331361"/>
    <w:rsid w:val="003434AB"/>
    <w:rsid w:val="00350B3A"/>
    <w:rsid w:val="00353006"/>
    <w:rsid w:val="00366B85"/>
    <w:rsid w:val="00366BF4"/>
    <w:rsid w:val="00370027"/>
    <w:rsid w:val="00372CE7"/>
    <w:rsid w:val="003748DC"/>
    <w:rsid w:val="00374EA6"/>
    <w:rsid w:val="00380B86"/>
    <w:rsid w:val="00382FAC"/>
    <w:rsid w:val="00386841"/>
    <w:rsid w:val="003949D8"/>
    <w:rsid w:val="00395DC4"/>
    <w:rsid w:val="003961E8"/>
    <w:rsid w:val="003A04EA"/>
    <w:rsid w:val="003A2569"/>
    <w:rsid w:val="003A4944"/>
    <w:rsid w:val="003A4DA2"/>
    <w:rsid w:val="003A6321"/>
    <w:rsid w:val="003A73B7"/>
    <w:rsid w:val="003B2CB0"/>
    <w:rsid w:val="003B4204"/>
    <w:rsid w:val="003C32AE"/>
    <w:rsid w:val="003C4A82"/>
    <w:rsid w:val="003D0113"/>
    <w:rsid w:val="003D392B"/>
    <w:rsid w:val="003D775D"/>
    <w:rsid w:val="003E2EB2"/>
    <w:rsid w:val="003F204C"/>
    <w:rsid w:val="003F52BC"/>
    <w:rsid w:val="004056DB"/>
    <w:rsid w:val="00411FAB"/>
    <w:rsid w:val="0042026E"/>
    <w:rsid w:val="00422C51"/>
    <w:rsid w:val="00424FA9"/>
    <w:rsid w:val="00431BFE"/>
    <w:rsid w:val="004335B2"/>
    <w:rsid w:val="004343C6"/>
    <w:rsid w:val="00434E8F"/>
    <w:rsid w:val="00441BC6"/>
    <w:rsid w:val="00442EEC"/>
    <w:rsid w:val="00442FAD"/>
    <w:rsid w:val="0044425E"/>
    <w:rsid w:val="004478F8"/>
    <w:rsid w:val="00464E14"/>
    <w:rsid w:val="0046619A"/>
    <w:rsid w:val="00475815"/>
    <w:rsid w:val="00484409"/>
    <w:rsid w:val="00485B27"/>
    <w:rsid w:val="00486DE4"/>
    <w:rsid w:val="004904B8"/>
    <w:rsid w:val="004932B6"/>
    <w:rsid w:val="004A0406"/>
    <w:rsid w:val="004A3939"/>
    <w:rsid w:val="004A5F77"/>
    <w:rsid w:val="004A6F09"/>
    <w:rsid w:val="004B391A"/>
    <w:rsid w:val="004B6D8D"/>
    <w:rsid w:val="004C25CF"/>
    <w:rsid w:val="004D3C33"/>
    <w:rsid w:val="004E57AE"/>
    <w:rsid w:val="004E5B73"/>
    <w:rsid w:val="004E7556"/>
    <w:rsid w:val="004F0D79"/>
    <w:rsid w:val="004F6EBF"/>
    <w:rsid w:val="00502261"/>
    <w:rsid w:val="0050575B"/>
    <w:rsid w:val="00505D89"/>
    <w:rsid w:val="00511BF9"/>
    <w:rsid w:val="0051478F"/>
    <w:rsid w:val="0052683F"/>
    <w:rsid w:val="005357D1"/>
    <w:rsid w:val="00540873"/>
    <w:rsid w:val="00543B69"/>
    <w:rsid w:val="00543C5B"/>
    <w:rsid w:val="00544671"/>
    <w:rsid w:val="00547802"/>
    <w:rsid w:val="005503CE"/>
    <w:rsid w:val="00551EB4"/>
    <w:rsid w:val="00557BC3"/>
    <w:rsid w:val="005650E5"/>
    <w:rsid w:val="0057100C"/>
    <w:rsid w:val="00573C08"/>
    <w:rsid w:val="00576DD5"/>
    <w:rsid w:val="00577243"/>
    <w:rsid w:val="005800B7"/>
    <w:rsid w:val="00583624"/>
    <w:rsid w:val="00583ABE"/>
    <w:rsid w:val="00586FBC"/>
    <w:rsid w:val="00587372"/>
    <w:rsid w:val="005B55A4"/>
    <w:rsid w:val="005C47C9"/>
    <w:rsid w:val="005D27F7"/>
    <w:rsid w:val="005D3227"/>
    <w:rsid w:val="005E1930"/>
    <w:rsid w:val="005E4DEA"/>
    <w:rsid w:val="005F0D85"/>
    <w:rsid w:val="005F6F5E"/>
    <w:rsid w:val="006002BD"/>
    <w:rsid w:val="0060453E"/>
    <w:rsid w:val="00605D7D"/>
    <w:rsid w:val="0060726E"/>
    <w:rsid w:val="00607E86"/>
    <w:rsid w:val="00610565"/>
    <w:rsid w:val="00610DD5"/>
    <w:rsid w:val="00614DA7"/>
    <w:rsid w:val="00615A1B"/>
    <w:rsid w:val="00615D36"/>
    <w:rsid w:val="00632497"/>
    <w:rsid w:val="0063391A"/>
    <w:rsid w:val="00634445"/>
    <w:rsid w:val="006367EF"/>
    <w:rsid w:val="00640568"/>
    <w:rsid w:val="0064470A"/>
    <w:rsid w:val="006661B7"/>
    <w:rsid w:val="006714C9"/>
    <w:rsid w:val="00683A1C"/>
    <w:rsid w:val="00687570"/>
    <w:rsid w:val="006901DB"/>
    <w:rsid w:val="0069023E"/>
    <w:rsid w:val="00690614"/>
    <w:rsid w:val="006A0D6D"/>
    <w:rsid w:val="006A3162"/>
    <w:rsid w:val="006A31BF"/>
    <w:rsid w:val="006A40BB"/>
    <w:rsid w:val="006C08AF"/>
    <w:rsid w:val="006C20C6"/>
    <w:rsid w:val="006C3CDC"/>
    <w:rsid w:val="006C58DB"/>
    <w:rsid w:val="006C5E25"/>
    <w:rsid w:val="006C6444"/>
    <w:rsid w:val="006D50BA"/>
    <w:rsid w:val="006D5466"/>
    <w:rsid w:val="006F4FEB"/>
    <w:rsid w:val="006F55E1"/>
    <w:rsid w:val="006F6D7E"/>
    <w:rsid w:val="006F732B"/>
    <w:rsid w:val="00707A5E"/>
    <w:rsid w:val="00711AD8"/>
    <w:rsid w:val="00712926"/>
    <w:rsid w:val="00712BED"/>
    <w:rsid w:val="00713834"/>
    <w:rsid w:val="0071458D"/>
    <w:rsid w:val="00717196"/>
    <w:rsid w:val="0071782B"/>
    <w:rsid w:val="007244E3"/>
    <w:rsid w:val="00740090"/>
    <w:rsid w:val="007411CA"/>
    <w:rsid w:val="0074252E"/>
    <w:rsid w:val="007441BC"/>
    <w:rsid w:val="0075153C"/>
    <w:rsid w:val="00751A07"/>
    <w:rsid w:val="007563CE"/>
    <w:rsid w:val="00762439"/>
    <w:rsid w:val="00763519"/>
    <w:rsid w:val="00770060"/>
    <w:rsid w:val="00773D10"/>
    <w:rsid w:val="0077752E"/>
    <w:rsid w:val="00780752"/>
    <w:rsid w:val="007A33D8"/>
    <w:rsid w:val="007A7497"/>
    <w:rsid w:val="007A7B13"/>
    <w:rsid w:val="007C3033"/>
    <w:rsid w:val="007D1A02"/>
    <w:rsid w:val="007D51C5"/>
    <w:rsid w:val="007D7FF2"/>
    <w:rsid w:val="007E168B"/>
    <w:rsid w:val="007E7DF7"/>
    <w:rsid w:val="007F1BCE"/>
    <w:rsid w:val="007F36B6"/>
    <w:rsid w:val="007F6401"/>
    <w:rsid w:val="007F6F02"/>
    <w:rsid w:val="00803A9D"/>
    <w:rsid w:val="00824619"/>
    <w:rsid w:val="00827AC9"/>
    <w:rsid w:val="008315DC"/>
    <w:rsid w:val="00835D2A"/>
    <w:rsid w:val="008365FE"/>
    <w:rsid w:val="00840FA3"/>
    <w:rsid w:val="008411C8"/>
    <w:rsid w:val="00853ECB"/>
    <w:rsid w:val="00856774"/>
    <w:rsid w:val="00860B13"/>
    <w:rsid w:val="00863FE1"/>
    <w:rsid w:val="0087136A"/>
    <w:rsid w:val="00882EB9"/>
    <w:rsid w:val="00882FAE"/>
    <w:rsid w:val="00884232"/>
    <w:rsid w:val="00894DB5"/>
    <w:rsid w:val="008A352F"/>
    <w:rsid w:val="008B40B7"/>
    <w:rsid w:val="008B623F"/>
    <w:rsid w:val="008C7B2A"/>
    <w:rsid w:val="008D22FC"/>
    <w:rsid w:val="008D64A4"/>
    <w:rsid w:val="008E276E"/>
    <w:rsid w:val="008E43E9"/>
    <w:rsid w:val="008F4246"/>
    <w:rsid w:val="008F5404"/>
    <w:rsid w:val="008F5D91"/>
    <w:rsid w:val="008F70D7"/>
    <w:rsid w:val="00902EC2"/>
    <w:rsid w:val="00902FCF"/>
    <w:rsid w:val="009053E6"/>
    <w:rsid w:val="00905A96"/>
    <w:rsid w:val="00906F59"/>
    <w:rsid w:val="00911EB5"/>
    <w:rsid w:val="0091224C"/>
    <w:rsid w:val="00914653"/>
    <w:rsid w:val="009206C5"/>
    <w:rsid w:val="00923AA6"/>
    <w:rsid w:val="009252C3"/>
    <w:rsid w:val="00926B1C"/>
    <w:rsid w:val="00927458"/>
    <w:rsid w:val="009312EA"/>
    <w:rsid w:val="00932008"/>
    <w:rsid w:val="0093661F"/>
    <w:rsid w:val="00944814"/>
    <w:rsid w:val="00946B50"/>
    <w:rsid w:val="009528C1"/>
    <w:rsid w:val="00960CED"/>
    <w:rsid w:val="009630E1"/>
    <w:rsid w:val="0096561A"/>
    <w:rsid w:val="00966F5D"/>
    <w:rsid w:val="00967244"/>
    <w:rsid w:val="009771AD"/>
    <w:rsid w:val="00977A72"/>
    <w:rsid w:val="00980635"/>
    <w:rsid w:val="009839C3"/>
    <w:rsid w:val="0098464F"/>
    <w:rsid w:val="00985AD7"/>
    <w:rsid w:val="0099563E"/>
    <w:rsid w:val="00995958"/>
    <w:rsid w:val="00995B42"/>
    <w:rsid w:val="009B4552"/>
    <w:rsid w:val="009B4ECB"/>
    <w:rsid w:val="009B785F"/>
    <w:rsid w:val="009C14F9"/>
    <w:rsid w:val="009C4230"/>
    <w:rsid w:val="009C5CAC"/>
    <w:rsid w:val="009C689F"/>
    <w:rsid w:val="009C68B1"/>
    <w:rsid w:val="009D314A"/>
    <w:rsid w:val="009D32A1"/>
    <w:rsid w:val="009D4AFC"/>
    <w:rsid w:val="009E2879"/>
    <w:rsid w:val="009E4437"/>
    <w:rsid w:val="009E5320"/>
    <w:rsid w:val="009F0AF2"/>
    <w:rsid w:val="009F2630"/>
    <w:rsid w:val="009F4C33"/>
    <w:rsid w:val="00A01703"/>
    <w:rsid w:val="00A07CBD"/>
    <w:rsid w:val="00A1081F"/>
    <w:rsid w:val="00A12CFF"/>
    <w:rsid w:val="00A13D5E"/>
    <w:rsid w:val="00A152EB"/>
    <w:rsid w:val="00A15D09"/>
    <w:rsid w:val="00A26562"/>
    <w:rsid w:val="00A31122"/>
    <w:rsid w:val="00A33429"/>
    <w:rsid w:val="00A3543A"/>
    <w:rsid w:val="00A35B6C"/>
    <w:rsid w:val="00A36459"/>
    <w:rsid w:val="00A369EA"/>
    <w:rsid w:val="00A37FE9"/>
    <w:rsid w:val="00A44E84"/>
    <w:rsid w:val="00A45705"/>
    <w:rsid w:val="00A57E32"/>
    <w:rsid w:val="00A607D5"/>
    <w:rsid w:val="00A607F5"/>
    <w:rsid w:val="00A676FA"/>
    <w:rsid w:val="00A716B5"/>
    <w:rsid w:val="00A8038B"/>
    <w:rsid w:val="00A84797"/>
    <w:rsid w:val="00A84C2F"/>
    <w:rsid w:val="00A85FB2"/>
    <w:rsid w:val="00A95B50"/>
    <w:rsid w:val="00AA0AF8"/>
    <w:rsid w:val="00AA10F6"/>
    <w:rsid w:val="00AA25B9"/>
    <w:rsid w:val="00AA3C45"/>
    <w:rsid w:val="00AA6E4C"/>
    <w:rsid w:val="00AB2964"/>
    <w:rsid w:val="00AB2EFB"/>
    <w:rsid w:val="00AB5AD6"/>
    <w:rsid w:val="00AB6163"/>
    <w:rsid w:val="00AC186F"/>
    <w:rsid w:val="00AC205B"/>
    <w:rsid w:val="00AC359E"/>
    <w:rsid w:val="00AD28C3"/>
    <w:rsid w:val="00AD39CF"/>
    <w:rsid w:val="00AD67A2"/>
    <w:rsid w:val="00AE54CF"/>
    <w:rsid w:val="00AE5A7B"/>
    <w:rsid w:val="00AE5E3D"/>
    <w:rsid w:val="00AE7F18"/>
    <w:rsid w:val="00B0116A"/>
    <w:rsid w:val="00B178DA"/>
    <w:rsid w:val="00B20126"/>
    <w:rsid w:val="00B21D03"/>
    <w:rsid w:val="00B23B37"/>
    <w:rsid w:val="00B24B47"/>
    <w:rsid w:val="00B25935"/>
    <w:rsid w:val="00B274FF"/>
    <w:rsid w:val="00B33E14"/>
    <w:rsid w:val="00B345BE"/>
    <w:rsid w:val="00B422E4"/>
    <w:rsid w:val="00B50FE6"/>
    <w:rsid w:val="00B6068A"/>
    <w:rsid w:val="00B75C20"/>
    <w:rsid w:val="00B7690D"/>
    <w:rsid w:val="00B8075A"/>
    <w:rsid w:val="00B869B8"/>
    <w:rsid w:val="00B918CA"/>
    <w:rsid w:val="00B9520A"/>
    <w:rsid w:val="00BA2BA5"/>
    <w:rsid w:val="00BA6737"/>
    <w:rsid w:val="00BA67B9"/>
    <w:rsid w:val="00BA74C8"/>
    <w:rsid w:val="00BB0331"/>
    <w:rsid w:val="00BB46B6"/>
    <w:rsid w:val="00BC1BEE"/>
    <w:rsid w:val="00BC5114"/>
    <w:rsid w:val="00BC5D0E"/>
    <w:rsid w:val="00BC7401"/>
    <w:rsid w:val="00BD615B"/>
    <w:rsid w:val="00BD72B1"/>
    <w:rsid w:val="00BE28D0"/>
    <w:rsid w:val="00BF0928"/>
    <w:rsid w:val="00BF27DD"/>
    <w:rsid w:val="00BF4069"/>
    <w:rsid w:val="00BF5F9C"/>
    <w:rsid w:val="00BF6EA2"/>
    <w:rsid w:val="00C16B42"/>
    <w:rsid w:val="00C256FB"/>
    <w:rsid w:val="00C34178"/>
    <w:rsid w:val="00C371EA"/>
    <w:rsid w:val="00C422C1"/>
    <w:rsid w:val="00C42CBC"/>
    <w:rsid w:val="00C65396"/>
    <w:rsid w:val="00C7542D"/>
    <w:rsid w:val="00C80DA6"/>
    <w:rsid w:val="00C87AE0"/>
    <w:rsid w:val="00C91669"/>
    <w:rsid w:val="00C9379F"/>
    <w:rsid w:val="00C941AC"/>
    <w:rsid w:val="00CA5D24"/>
    <w:rsid w:val="00CB14C6"/>
    <w:rsid w:val="00CB1A89"/>
    <w:rsid w:val="00CB4107"/>
    <w:rsid w:val="00CD02F4"/>
    <w:rsid w:val="00CD1FB0"/>
    <w:rsid w:val="00CE0105"/>
    <w:rsid w:val="00CE06DA"/>
    <w:rsid w:val="00CE1F36"/>
    <w:rsid w:val="00CE20BE"/>
    <w:rsid w:val="00CE2B97"/>
    <w:rsid w:val="00CE7DA0"/>
    <w:rsid w:val="00CF4CA1"/>
    <w:rsid w:val="00CF6748"/>
    <w:rsid w:val="00CF772A"/>
    <w:rsid w:val="00CF7841"/>
    <w:rsid w:val="00D112AE"/>
    <w:rsid w:val="00D23035"/>
    <w:rsid w:val="00D244A5"/>
    <w:rsid w:val="00D32E37"/>
    <w:rsid w:val="00D4132A"/>
    <w:rsid w:val="00D462CF"/>
    <w:rsid w:val="00D47B2D"/>
    <w:rsid w:val="00D50B9D"/>
    <w:rsid w:val="00D5603B"/>
    <w:rsid w:val="00D57536"/>
    <w:rsid w:val="00D71BAD"/>
    <w:rsid w:val="00D82EF7"/>
    <w:rsid w:val="00D836DE"/>
    <w:rsid w:val="00D90FE6"/>
    <w:rsid w:val="00D958D7"/>
    <w:rsid w:val="00D9649B"/>
    <w:rsid w:val="00D96DB9"/>
    <w:rsid w:val="00DA41AE"/>
    <w:rsid w:val="00DA481E"/>
    <w:rsid w:val="00DA4CD8"/>
    <w:rsid w:val="00DA5B2F"/>
    <w:rsid w:val="00DA7C17"/>
    <w:rsid w:val="00DB09CA"/>
    <w:rsid w:val="00DB6943"/>
    <w:rsid w:val="00DC6FD9"/>
    <w:rsid w:val="00DC745C"/>
    <w:rsid w:val="00DC7667"/>
    <w:rsid w:val="00DD170E"/>
    <w:rsid w:val="00DE6E2C"/>
    <w:rsid w:val="00DF61BE"/>
    <w:rsid w:val="00E1227B"/>
    <w:rsid w:val="00E16185"/>
    <w:rsid w:val="00E21D5F"/>
    <w:rsid w:val="00E22BF9"/>
    <w:rsid w:val="00E25ABD"/>
    <w:rsid w:val="00E34928"/>
    <w:rsid w:val="00E50F32"/>
    <w:rsid w:val="00E56337"/>
    <w:rsid w:val="00E61228"/>
    <w:rsid w:val="00E6128B"/>
    <w:rsid w:val="00E805F2"/>
    <w:rsid w:val="00E9211A"/>
    <w:rsid w:val="00E936EC"/>
    <w:rsid w:val="00E94BC7"/>
    <w:rsid w:val="00EA4059"/>
    <w:rsid w:val="00EA6E52"/>
    <w:rsid w:val="00EB2A93"/>
    <w:rsid w:val="00EB403C"/>
    <w:rsid w:val="00EB72EA"/>
    <w:rsid w:val="00EB77DB"/>
    <w:rsid w:val="00EC3FD5"/>
    <w:rsid w:val="00ED0329"/>
    <w:rsid w:val="00ED3395"/>
    <w:rsid w:val="00ED6A7C"/>
    <w:rsid w:val="00EE06CF"/>
    <w:rsid w:val="00EE5701"/>
    <w:rsid w:val="00EE57DA"/>
    <w:rsid w:val="00EE75BE"/>
    <w:rsid w:val="00EF05AE"/>
    <w:rsid w:val="00EF4780"/>
    <w:rsid w:val="00F05258"/>
    <w:rsid w:val="00F131B0"/>
    <w:rsid w:val="00F16B7C"/>
    <w:rsid w:val="00F20F69"/>
    <w:rsid w:val="00F21648"/>
    <w:rsid w:val="00F24C1D"/>
    <w:rsid w:val="00F26E15"/>
    <w:rsid w:val="00F34374"/>
    <w:rsid w:val="00F3551F"/>
    <w:rsid w:val="00F40F2A"/>
    <w:rsid w:val="00F4422A"/>
    <w:rsid w:val="00F4580A"/>
    <w:rsid w:val="00F45C3D"/>
    <w:rsid w:val="00F4770F"/>
    <w:rsid w:val="00F5537D"/>
    <w:rsid w:val="00F643FB"/>
    <w:rsid w:val="00F72D6B"/>
    <w:rsid w:val="00F8402D"/>
    <w:rsid w:val="00F92E08"/>
    <w:rsid w:val="00F93185"/>
    <w:rsid w:val="00F96C59"/>
    <w:rsid w:val="00FA1793"/>
    <w:rsid w:val="00FB3E3C"/>
    <w:rsid w:val="00FB6977"/>
    <w:rsid w:val="00FB7208"/>
    <w:rsid w:val="00FC2A1F"/>
    <w:rsid w:val="00FD157E"/>
    <w:rsid w:val="00FD363E"/>
    <w:rsid w:val="00FD493F"/>
    <w:rsid w:val="00FD57C3"/>
    <w:rsid w:val="00FD6AB4"/>
    <w:rsid w:val="00FD7E91"/>
    <w:rsid w:val="00FE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296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F6401"/>
    <w:pPr>
      <w:ind w:left="720"/>
      <w:contextualSpacing/>
    </w:pPr>
  </w:style>
  <w:style w:type="table" w:styleId="a6">
    <w:name w:val="Table Grid"/>
    <w:basedOn w:val="a1"/>
    <w:uiPriority w:val="39"/>
    <w:rsid w:val="00F20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6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068A"/>
  </w:style>
  <w:style w:type="paragraph" w:styleId="a9">
    <w:name w:val="footer"/>
    <w:basedOn w:val="a"/>
    <w:link w:val="aa"/>
    <w:uiPriority w:val="99"/>
    <w:unhideWhenUsed/>
    <w:rsid w:val="00B6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068A"/>
  </w:style>
  <w:style w:type="paragraph" w:styleId="ab">
    <w:name w:val="Normal (Web)"/>
    <w:basedOn w:val="a"/>
    <w:uiPriority w:val="99"/>
    <w:semiHidden/>
    <w:unhideWhenUsed/>
    <w:rsid w:val="001251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296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F6401"/>
    <w:pPr>
      <w:ind w:left="720"/>
      <w:contextualSpacing/>
    </w:pPr>
  </w:style>
  <w:style w:type="table" w:styleId="a6">
    <w:name w:val="Table Grid"/>
    <w:basedOn w:val="a1"/>
    <w:uiPriority w:val="39"/>
    <w:rsid w:val="00F20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6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068A"/>
  </w:style>
  <w:style w:type="paragraph" w:styleId="a9">
    <w:name w:val="footer"/>
    <w:basedOn w:val="a"/>
    <w:link w:val="aa"/>
    <w:uiPriority w:val="99"/>
    <w:unhideWhenUsed/>
    <w:rsid w:val="00B6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068A"/>
  </w:style>
  <w:style w:type="paragraph" w:styleId="ab">
    <w:name w:val="Normal (Web)"/>
    <w:basedOn w:val="a"/>
    <w:uiPriority w:val="99"/>
    <w:semiHidden/>
    <w:unhideWhenUsed/>
    <w:rsid w:val="001251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22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dirty="0">
                <a:solidFill>
                  <a:sysClr val="windowText" lastClr="000000"/>
                </a:solidFill>
              </a:rPr>
              <a:t>Субъекты </a:t>
            </a:r>
            <a:r>
              <a:rPr lang="ru-RU" sz="1800" dirty="0" smtClean="0">
                <a:solidFill>
                  <a:sysClr val="windowText" lastClr="000000"/>
                </a:solidFill>
              </a:rPr>
              <a:t>мониторинга</a:t>
            </a:r>
            <a:endParaRPr lang="en-US" sz="1800" dirty="0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19787694221149185"/>
          <c:y val="7.25802415587882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7669859566523256E-3"/>
          <c:y val="0.15775897415808099"/>
          <c:w val="0.9932329956339998"/>
          <c:h val="0.8406262650004571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7"/>
            <c:spPr>
              <a:solidFill>
                <a:schemeClr val="bg2">
                  <a:lumMod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explosion val="7"/>
            <c:spPr>
              <a:solidFill>
                <a:srgbClr val="FFC000">
                  <a:lumMod val="60000"/>
                  <a:lumOff val="40000"/>
                </a:srgb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0.13816627993964523"/>
                  <c:y val="-3.6336410329661173E-2"/>
                </c:manualLayout>
              </c:layout>
              <c:tx>
                <c:rich>
                  <a:bodyPr/>
                  <a:lstStyle/>
                  <a:p>
                    <a:r>
                      <a:rPr lang="en-US" sz="1600" smtClean="0">
                        <a:solidFill>
                          <a:schemeClr val="tx1"/>
                        </a:solidFill>
                      </a:rPr>
                      <a:t>5</a:t>
                    </a:r>
                    <a:r>
                      <a:rPr lang="ru-RU" sz="1600" smtClean="0">
                        <a:solidFill>
                          <a:schemeClr val="tx1"/>
                        </a:solidFill>
                      </a:rPr>
                      <a:t>5</a:t>
                    </a:r>
                    <a:r>
                      <a:rPr lang="en-US" sz="1600" smtClean="0">
                        <a:solidFill>
                          <a:schemeClr val="tx1"/>
                        </a:solidFill>
                      </a:rPr>
                      <a:t>%</a:t>
                    </a:r>
                    <a:endParaRPr lang="en-US" dirty="0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0736471950668004E-2"/>
                  <c:y val="-0.13411514036935859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3</a:t>
                    </a:r>
                    <a:r>
                      <a:rPr lang="en-US" dirty="0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2938271604938273"/>
                  <c:y val="-4.0244969378827648E-2"/>
                </c:manualLayout>
              </c:layout>
              <c:tx>
                <c:rich>
                  <a:bodyPr/>
                  <a:lstStyle/>
                  <a:p>
                    <a:r>
                      <a:rPr lang="en-US" sz="1600" smtClean="0">
                        <a:solidFill>
                          <a:schemeClr val="tx1"/>
                        </a:solidFill>
                      </a:rPr>
                      <a:t>3</a:t>
                    </a:r>
                    <a:r>
                      <a:rPr lang="ru-RU" sz="1600" smtClean="0">
                        <a:solidFill>
                          <a:schemeClr val="tx1"/>
                        </a:solidFill>
                      </a:rPr>
                      <a:t>8</a:t>
                    </a:r>
                    <a:r>
                      <a:rPr lang="en-US" sz="1600" smtClean="0">
                        <a:solidFill>
                          <a:schemeClr val="tx1"/>
                        </a:solidFill>
                      </a:rPr>
                      <a:t>%</a:t>
                    </a:r>
                    <a:endParaRPr lang="en-US" dirty="0">
                      <a:solidFill>
                        <a:schemeClr val="tx1"/>
                      </a:solidFill>
                    </a:endParaRP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1704430665973516E-2"/>
                  <c:y val="7.43773694954796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ПБС</c:v>
                </c:pt>
                <c:pt idx="1">
                  <c:v>АДБ</c:v>
                </c:pt>
                <c:pt idx="2">
                  <c:v>АУБУ</c:v>
                </c:pt>
                <c:pt idx="3">
                  <c:v>РБС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0.02</c:v>
                </c:pt>
                <c:pt idx="2">
                  <c:v>0.39</c:v>
                </c:pt>
                <c:pt idx="3">
                  <c:v>0.03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6837956231080871"/>
          <c:y val="8.808982210557012E-2"/>
          <c:w val="0.13162043768919129"/>
          <c:h val="0.2900231883090884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0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6205450733752622"/>
          <c:y val="1.1441647597254004E-2"/>
          <c:w val="0.43794648310470624"/>
          <c:h val="0.95863228766884689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 нарушением установленного срока</c:v>
                </c:pt>
              </c:strCache>
            </c:strRef>
          </c:tx>
          <c:spPr>
            <a:solidFill>
              <a:srgbClr val="FF5050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rgbClr val="FF5050"/>
              </a:solidFill>
              <a:ln>
                <a:noFill/>
              </a:ln>
              <a:effectLst/>
              <a:sp3d/>
            </c:spPr>
          </c:dPt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0%</c:formatCode>
                <c:ptCount val="1"/>
                <c:pt idx="0">
                  <c:v>0.08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Своевременно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  <a:sp3d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0%</c:formatCode>
                <c:ptCount val="1"/>
                <c:pt idx="0">
                  <c:v>0.92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cylinder"/>
        <c:axId val="109590016"/>
        <c:axId val="109591552"/>
        <c:axId val="0"/>
      </c:bar3DChart>
      <c:catAx>
        <c:axId val="109590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09591552"/>
        <c:crosses val="autoZero"/>
        <c:auto val="1"/>
        <c:lblAlgn val="ctr"/>
        <c:lblOffset val="100"/>
        <c:noMultiLvlLbl val="0"/>
      </c:catAx>
      <c:valAx>
        <c:axId val="109591552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109590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291503656382575"/>
          <c:y val="0.21332636624083318"/>
          <c:w val="0.31257762590996879"/>
          <c:h val="0.1843312492116975"/>
        </c:manualLayout>
      </c:layout>
      <c:overlay val="0"/>
    </c:legend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u="sng" dirty="0">
                <a:solidFill>
                  <a:schemeClr val="accent5">
                    <a:lumMod val="75000"/>
                  </a:schemeClr>
                </a:solidFill>
              </a:rPr>
              <a:t>в разрезе форм отчетности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ф.0503125 (725)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0.12</c:v>
                </c:pt>
              </c:numCache>
            </c:numRef>
          </c:val>
          <c:shape val="pyramidToMa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ф.0503127 (737)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0.17</c:v>
                </c:pt>
              </c:numCache>
            </c:numRef>
          </c:val>
          <c:shape val="pyramidToMa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ф.0503160 (760)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0.43</c:v>
                </c:pt>
              </c:numCache>
            </c:numRef>
          </c:val>
          <c:shape val="pyramidToMa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ф.0503164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60000"/>
                    <a:shade val="51000"/>
                    <a:satMod val="130000"/>
                  </a:schemeClr>
                </a:gs>
                <a:gs pos="80000">
                  <a:schemeClr val="accent1">
                    <a:lumMod val="60000"/>
                    <a:shade val="93000"/>
                    <a:satMod val="130000"/>
                  </a:schemeClr>
                </a:gs>
                <a:gs pos="100000">
                  <a:schemeClr val="accent1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0.25</c:v>
                </c:pt>
              </c:numCache>
            </c:numRef>
          </c:val>
          <c:shape val="pyramidToMax"/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ф.0503177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60000"/>
                    <a:shade val="51000"/>
                    <a:satMod val="130000"/>
                  </a:schemeClr>
                </a:gs>
                <a:gs pos="80000">
                  <a:schemeClr val="accent3">
                    <a:lumMod val="60000"/>
                    <a:shade val="93000"/>
                    <a:satMod val="130000"/>
                  </a:schemeClr>
                </a:gs>
                <a:gs pos="100000">
                  <a:schemeClr val="accent3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2E-3</c:v>
                </c:pt>
              </c:numCache>
            </c:numRef>
          </c:val>
          <c:shape val="pyramidToMax"/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ф.0503178 (779)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lumMod val="60000"/>
                    <a:shade val="51000"/>
                    <a:satMod val="130000"/>
                  </a:schemeClr>
                </a:gs>
                <a:gs pos="80000">
                  <a:schemeClr val="accent5">
                    <a:lumMod val="60000"/>
                    <a:shade val="93000"/>
                    <a:satMod val="130000"/>
                  </a:schemeClr>
                </a:gs>
                <a:gs pos="100000">
                  <a:schemeClr val="accent5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2.8000000000000001E-2</c:v>
                </c:pt>
              </c:numCache>
            </c:numRef>
          </c:val>
          <c:shape val="pyramidToMa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092096"/>
        <c:axId val="111093632"/>
        <c:axId val="0"/>
      </c:bar3DChart>
      <c:catAx>
        <c:axId val="1110920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11093632"/>
        <c:crosses val="autoZero"/>
        <c:auto val="1"/>
        <c:lblAlgn val="ctr"/>
        <c:lblOffset val="100"/>
        <c:noMultiLvlLbl val="0"/>
      </c:catAx>
      <c:valAx>
        <c:axId val="111093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092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7772754793421419"/>
          <c:y val="0.11776990374364167"/>
          <c:w val="0.31035253679678382"/>
          <c:h val="0.4819743412536610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u="sng" dirty="0">
                <a:solidFill>
                  <a:schemeClr val="accent5">
                    <a:lumMod val="75000"/>
                  </a:schemeClr>
                </a:solidFill>
              </a:rPr>
              <a:t>в разрезе видов контролей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ФЛК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0.11</c:v>
                </c:pt>
              </c:numCache>
            </c:numRef>
          </c:val>
          <c:shape val="pyramidToMa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ВДК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0.18</c:v>
                </c:pt>
              </c:numCache>
            </c:numRef>
          </c:val>
          <c:shape val="pyramidToMa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МДК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0.71</c:v>
                </c:pt>
              </c:numCache>
            </c:numRef>
          </c:val>
          <c:shape val="pyramidToMa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ВНК</c:v>
                </c:pt>
              </c:strCache>
            </c:strRef>
          </c:tx>
          <c:spPr>
            <a:solidFill>
              <a:srgbClr val="660066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</c:v>
                </c:pt>
              </c:numCache>
            </c:numRef>
          </c:val>
          <c:shape val="pyramidToMa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178496"/>
        <c:axId val="111180032"/>
        <c:axId val="0"/>
      </c:bar3DChart>
      <c:catAx>
        <c:axId val="1111784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11180032"/>
        <c:crosses val="autoZero"/>
        <c:auto val="1"/>
        <c:lblAlgn val="ctr"/>
        <c:lblOffset val="100"/>
        <c:noMultiLvlLbl val="0"/>
      </c:catAx>
      <c:valAx>
        <c:axId val="111180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178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2823180968386811"/>
          <c:y val="0.13198305443183911"/>
          <c:w val="0.1489751668469039"/>
          <c:h val="0.21287221922817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 sz="1800">
                <a:solidFill>
                  <a:sysClr val="windowText" lastClr="000000"/>
                </a:solidFill>
              </a:rPr>
              <a:t>Структура ошибок в пояснительной записке</a:t>
            </a:r>
          </a:p>
        </c:rich>
      </c:tx>
      <c:layout>
        <c:manualLayout>
          <c:xMode val="edge"/>
          <c:yMode val="edge"/>
          <c:x val="0.13311367760334852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997210668616236"/>
          <c:y val="5.7616227513156773E-2"/>
          <c:w val="0.71115716087559322"/>
          <c:h val="0.6000127000254000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7"/>
            <c:spPr>
              <a:gradFill rotWithShape="1">
                <a:gsLst>
                  <a:gs pos="0">
                    <a:schemeClr val="accent1">
                      <a:lumMod val="95000"/>
                    </a:schemeClr>
                  </a:gs>
                  <a:gs pos="100000">
                    <a:schemeClr val="accent1">
                      <a:shade val="82000"/>
                      <a:satMod val="125000"/>
                      <a:lumMod val="74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40005" dist="22984" dir="5400000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balanced" dir="tr"/>
              </a:scene3d>
              <a:sp3d prstMaterial="matte">
                <a:bevelT w="19050" h="38100"/>
              </a:sp3d>
            </c:spPr>
          </c:dPt>
          <c:dPt>
            <c:idx val="1"/>
            <c:bubble3D val="0"/>
            <c:explosion val="15"/>
            <c:spPr>
              <a:solidFill>
                <a:srgbClr val="FFFF00"/>
              </a:solidFill>
              <a:ln>
                <a:noFill/>
              </a:ln>
              <a:effectLst>
                <a:outerShdw blurRad="40005" dist="22984" dir="5400000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balanced" dir="tr"/>
              </a:scene3d>
              <a:sp3d prstMaterial="matte">
                <a:bevelT w="19050" h="38100"/>
              </a:sp3d>
            </c:spPr>
          </c:dPt>
          <c:dPt>
            <c:idx val="2"/>
            <c:bubble3D val="0"/>
            <c:explosion val="7"/>
            <c:spPr>
              <a:solidFill>
                <a:srgbClr val="F67EEB"/>
              </a:solidFill>
              <a:ln>
                <a:noFill/>
              </a:ln>
              <a:effectLst>
                <a:outerShdw blurRad="40005" dist="22984" dir="5400000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balanced" dir="tr"/>
              </a:scene3d>
              <a:sp3d prstMaterial="matte">
                <a:bevelT w="19050" h="38100"/>
              </a:sp3d>
            </c:spPr>
          </c:dPt>
          <c:dPt>
            <c:idx val="3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40005" dist="22984" dir="5400000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balanced" dir="tr"/>
              </a:scene3d>
              <a:sp3d prstMaterial="matte">
                <a:bevelT w="19050" h="38100"/>
              </a:sp3d>
            </c:spPr>
          </c:dPt>
          <c:dPt>
            <c:idx val="4"/>
            <c:bubble3D val="0"/>
            <c:spPr>
              <a:solidFill>
                <a:srgbClr val="FF9933"/>
              </a:solidFill>
              <a:ln>
                <a:noFill/>
              </a:ln>
              <a:effectLst>
                <a:outerShdw blurRad="40005" dist="22984" dir="5400000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balanced" dir="tr"/>
              </a:scene3d>
              <a:sp3d prstMaterial="matte">
                <a:bevelT w="19050" h="38100"/>
              </a:sp3d>
            </c:spPr>
          </c:dPt>
          <c:dLbls>
            <c:dLbl>
              <c:idx val="0"/>
              <c:layout>
                <c:manualLayout>
                  <c:x val="-9.3249620459926824E-2"/>
                  <c:y val="8.0261709646226309E-2"/>
                </c:manualLayout>
              </c:layout>
              <c:tx>
                <c:rich>
                  <a:bodyPr/>
                  <a:lstStyle/>
                  <a:p>
                    <a:r>
                      <a:rPr lang="en-US" sz="1600" dirty="0" smtClean="0">
                        <a:solidFill>
                          <a:schemeClr val="tx1"/>
                        </a:solidFill>
                      </a:rPr>
                      <a:t>17%</a:t>
                    </a:r>
                    <a:endParaRPr lang="en-US" dirty="0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26872441603519759"/>
                  <c:y val="4.8970183905280094E-2"/>
                </c:manualLayout>
              </c:layout>
              <c:tx>
                <c:rich>
                  <a:bodyPr/>
                  <a:lstStyle/>
                  <a:p>
                    <a:r>
                      <a:rPr lang="en-US" sz="1600" dirty="0" smtClean="0">
                        <a:solidFill>
                          <a:schemeClr val="tx1"/>
                        </a:solidFill>
                      </a:rPr>
                      <a:t>4%</a:t>
                    </a:r>
                    <a:endParaRPr lang="en-US" dirty="0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237369795525873E-3"/>
                  <c:y val="-0.26133221038371901"/>
                </c:manualLayout>
              </c:layout>
              <c:tx>
                <c:rich>
                  <a:bodyPr/>
                  <a:lstStyle/>
                  <a:p>
                    <a:r>
                      <a:rPr lang="en-US" sz="1600" dirty="0" smtClean="0">
                        <a:solidFill>
                          <a:schemeClr val="tx1"/>
                        </a:solidFill>
                      </a:rPr>
                      <a:t>20%</a:t>
                    </a:r>
                    <a:endParaRPr lang="en-US" dirty="0">
                      <a:solidFill>
                        <a:schemeClr val="tx1"/>
                      </a:solidFill>
                    </a:endParaRP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9858261130156724E-2"/>
                  <c:y val="-0.1795723433552130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6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600" dirty="0" smtClean="0">
                        <a:solidFill>
                          <a:sysClr val="windowText" lastClr="000000"/>
                        </a:solidFill>
                        <a:latin typeface="+mn-lt"/>
                        <a:cs typeface="Times New Roman" panose="02020603050405020304" pitchFamily="18" charset="0"/>
                      </a:rPr>
                      <a:t>5%</a:t>
                    </a:r>
                    <a:endParaRPr lang="en-US" sz="1600" dirty="0">
                      <a:solidFill>
                        <a:sysClr val="windowText" lastClr="000000"/>
                      </a:solidFill>
                      <a:latin typeface="+mn-lt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89909175022186E-2"/>
                      <c:h val="5.2297246627955284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Не отражена информация об отсутствии форм</c:v>
                </c:pt>
                <c:pt idx="1">
                  <c:v>Отсутствует информация относительно форм, не имеющих числовое значение</c:v>
                </c:pt>
                <c:pt idx="2">
                  <c:v>Отсутствует раздел "Анализ показателей бухгалтерской отчетности субъекта бюджетной отчетности"</c:v>
                </c:pt>
                <c:pt idx="3">
                  <c:v>Отсутствует раздел "Результаты деятельности субъекта бюджетной отчетности"</c:v>
                </c:pt>
                <c:pt idx="4">
                  <c:v>Неккоректная структура пояснительной записки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0.17</c:v>
                </c:pt>
                <c:pt idx="1">
                  <c:v>0.2</c:v>
                </c:pt>
                <c:pt idx="2">
                  <c:v>0.05</c:v>
                </c:pt>
                <c:pt idx="3">
                  <c:v>0.04</c:v>
                </c:pt>
                <c:pt idx="4">
                  <c:v>0.54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825895905588965E-2"/>
          <c:y val="0.6238502020863691"/>
          <c:w val="0.82634805387200194"/>
          <c:h val="0.36750709641770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drawing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0.17391</cdr:y>
    </cdr:from>
    <cdr:to>
      <cdr:x>0.27296</cdr:x>
      <cdr:y>0.67506</cdr:y>
    </cdr:to>
    <cdr:pic>
      <cdr:nvPicPr>
        <cdr:cNvPr id="2" name="Picture 2"/>
        <cdr:cNvPicPr/>
      </cdr:nvPicPr>
      <cdr:blipFill>
        <a:blip xmlns:a="http://schemas.openxmlformats.org/drawingml/2006/main" xmlns:r="http://schemas.openxmlformats.org/officeDocument/2006/relationships" r:embed="rId1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0" y="579120"/>
          <a:ext cx="1653539" cy="16687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/>
      </cdr:spPr>
    </cdr:pic>
  </cdr:relSizeAnchor>
  <cdr:relSizeAnchor xmlns:cdr="http://schemas.openxmlformats.org/drawingml/2006/chartDrawing">
    <cdr:from>
      <cdr:x>0.72704</cdr:x>
      <cdr:y>0.48513</cdr:y>
    </cdr:from>
    <cdr:to>
      <cdr:x>1</cdr:x>
      <cdr:y>1</cdr:y>
    </cdr:to>
    <cdr:pic>
      <cdr:nvPicPr>
        <cdr:cNvPr id="3" name="Picture 3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2">
          <a:extLst>
            <a:ext uri="{28A0092B-C50C-407E-A947-70E740481C1C}">
              <a14:useLocalDpi xmlns:a14="http://schemas.microsoft.com/office/drawing/2010/main" val="0"/>
            </a:ext>
          </a:extLst>
        </a:blip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4404361" y="1615440"/>
          <a:ext cx="1653539" cy="17145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chemeClr val="accent1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chemeClr val="tx1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cdr:spPr>
    </cdr:pic>
  </cdr:relSizeAnchor>
  <cdr:relSizeAnchor xmlns:cdr="http://schemas.openxmlformats.org/drawingml/2006/chartDrawing">
    <cdr:from>
      <cdr:x>0.43019</cdr:x>
      <cdr:y>0.46224</cdr:y>
    </cdr:from>
    <cdr:to>
      <cdr:x>0.64277</cdr:x>
      <cdr:y>0.73684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2606040" y="1539240"/>
          <a:ext cx="128778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600"/>
            <a:t>91%</a:t>
          </a:r>
        </a:p>
      </cdr:txBody>
    </cdr:sp>
  </cdr:relSizeAnchor>
  <cdr:relSizeAnchor xmlns:cdr="http://schemas.openxmlformats.org/drawingml/2006/chartDrawing">
    <cdr:from>
      <cdr:x>0.4478</cdr:x>
      <cdr:y>0.81007</cdr:y>
    </cdr:from>
    <cdr:to>
      <cdr:x>0.59874</cdr:x>
      <cdr:y>1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2712720" y="2697480"/>
          <a:ext cx="914400" cy="6324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600"/>
            <a:t>9%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0.89767</cdr:y>
    </cdr:from>
    <cdr:to>
      <cdr:x>1</cdr:x>
      <cdr:y>1</cdr:y>
    </cdr:to>
    <cdr:sp macro="" textlink="">
      <cdr:nvSpPr>
        <cdr:cNvPr id="2" name="Заголовок 1"/>
        <cdr:cNvSpPr txBox="1">
          <a:spLocks xmlns:a="http://schemas.openxmlformats.org/drawingml/2006/main"/>
        </cdr:cNvSpPr>
      </cdr:nvSpPr>
      <cdr:spPr bwMode="auto">
        <a:xfrm xmlns:a="http://schemas.openxmlformats.org/drawingml/2006/main">
          <a:off x="7539881" y="6045634"/>
          <a:ext cx="5184576" cy="4499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="horz" wrap="square" lIns="91440" tIns="45720" rIns="91440" bIns="45720" numCol="1" anchor="ctr" anchorCtr="0" compatLnSpc="1">
          <a:prstTxWarp prst="textNoShape">
            <a:avLst/>
          </a:prstTxWarp>
        </a:bodyPr>
        <a:lstStyle xmlns:a="http://schemas.openxmlformats.org/drawingml/2006/main">
          <a:defPPr>
            <a:defRPr lang="ru-RU"/>
          </a:defPPr>
          <a:lvl1pPr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1pPr>
          <a:lvl2pPr marL="4572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2pPr>
          <a:lvl3pPr marL="9144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3pPr>
          <a:lvl4pPr marL="13716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4pPr>
          <a:lvl5pPr marL="18288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5pPr>
          <a:lvl6pPr marL="2286000" algn="l" defTabSz="914400" rtl="0" eaLnBrk="1" latinLnBrk="0" hangingPunct="1"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6pPr>
          <a:lvl7pPr marL="2743200" algn="l" defTabSz="914400" rtl="0" eaLnBrk="1" latinLnBrk="0" hangingPunct="1"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7pPr>
          <a:lvl8pPr marL="3200400" algn="l" defTabSz="914400" rtl="0" eaLnBrk="1" latinLnBrk="0" hangingPunct="1"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8pPr>
          <a:lvl9pPr marL="3657600" algn="l" defTabSz="914400" rtl="0" eaLnBrk="1" latinLnBrk="0" hangingPunct="1">
            <a:defRPr kern="1200">
              <a:solidFill>
                <a:schemeClr val="tx1"/>
              </a:solidFill>
              <a:latin typeface="Arial" charset="0"/>
              <a:ea typeface="+mn-ea"/>
              <a:cs typeface="+mn-cs"/>
            </a:defRPr>
          </a:lvl9pPr>
        </a:lstStyle>
        <a:p xmlns:a="http://schemas.openxmlformats.org/drawingml/2006/main">
          <a:pPr fontAlgn="b">
            <a:defRPr/>
          </a:pPr>
          <a:r>
            <a:rPr lang="ru-RU" sz="1000" dirty="0" smtClean="0">
              <a:solidFill>
                <a:srgbClr val="002060"/>
              </a:solidFill>
              <a:latin typeface="+mn-lt"/>
            </a:rPr>
            <a:t>ФЛК – форматно-логический контроль, ВДК – </a:t>
          </a:r>
          <a:r>
            <a:rPr lang="ru-RU" sz="1000" dirty="0" err="1" smtClean="0">
              <a:solidFill>
                <a:srgbClr val="002060"/>
              </a:solidFill>
              <a:latin typeface="+mn-lt"/>
            </a:rPr>
            <a:t>внутридокументный</a:t>
          </a:r>
          <a:r>
            <a:rPr lang="ru-RU" sz="1000" dirty="0" smtClean="0">
              <a:solidFill>
                <a:srgbClr val="002060"/>
              </a:solidFill>
              <a:latin typeface="+mn-lt"/>
            </a:rPr>
            <a:t> контроль</a:t>
          </a:r>
        </a:p>
        <a:p xmlns:a="http://schemas.openxmlformats.org/drawingml/2006/main">
          <a:pPr fontAlgn="b">
            <a:defRPr/>
          </a:pPr>
          <a:r>
            <a:rPr lang="ru-RU" sz="1000" dirty="0" smtClean="0">
              <a:solidFill>
                <a:srgbClr val="002060"/>
              </a:solidFill>
              <a:latin typeface="+mn-lt"/>
            </a:rPr>
            <a:t>МДК – </a:t>
          </a:r>
          <a:r>
            <a:rPr lang="ru-RU" sz="1000" dirty="0" err="1" smtClean="0">
              <a:solidFill>
                <a:srgbClr val="002060"/>
              </a:solidFill>
              <a:latin typeface="+mn-lt"/>
            </a:rPr>
            <a:t>междокументный</a:t>
          </a:r>
          <a:r>
            <a:rPr lang="ru-RU" sz="1000" dirty="0" smtClean="0">
              <a:solidFill>
                <a:srgbClr val="002060"/>
              </a:solidFill>
              <a:latin typeface="+mn-lt"/>
            </a:rPr>
            <a:t> контроль, ВНК – внешний контроль</a:t>
          </a:r>
          <a:endParaRPr lang="ru-RU" sz="1000" dirty="0">
            <a:solidFill>
              <a:srgbClr val="002060"/>
            </a:solidFill>
            <a:latin typeface="+mn-lt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Другая 13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FACF3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Воздушный поток">
    <a:majorFont>
      <a:latin typeface="Trebuchet MS"/>
      <a:ea typeface=""/>
      <a:cs typeface=""/>
      <a:font script="Jpan" typeface="HGｺﾞｼｯｸM"/>
      <a:font script="Hang" typeface="HY그래픽B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Trebuchet MS"/>
      <a:ea typeface=""/>
      <a:cs typeface=""/>
      <a:font script="Jpan" typeface="HGｺﾞｼｯｸM"/>
      <a:font script="Hang" typeface="HY그래픽M"/>
      <a:font script="Hans" typeface="方正姚体"/>
      <a:font script="Hant" typeface="微軟正黑體"/>
      <a:font script="Arab" typeface="Tahoma"/>
      <a:font script="Hebr" typeface="Gisha"/>
      <a:font script="Thai" typeface="Iris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Яркая">
    <a:dk1>
      <a:sysClr val="windowText" lastClr="000000"/>
    </a:dk1>
    <a:lt1>
      <a:sysClr val="window" lastClr="FFFFFF"/>
    </a:lt1>
    <a:dk2>
      <a:srgbClr val="666666"/>
    </a:dk2>
    <a:lt2>
      <a:srgbClr val="D2D2D2"/>
    </a:lt2>
    <a:accent1>
      <a:srgbClr val="FF388C"/>
    </a:accent1>
    <a:accent2>
      <a:srgbClr val="E40059"/>
    </a:accent2>
    <a:accent3>
      <a:srgbClr val="9C007F"/>
    </a:accent3>
    <a:accent4>
      <a:srgbClr val="68007F"/>
    </a:accent4>
    <a:accent5>
      <a:srgbClr val="005BD3"/>
    </a:accent5>
    <a:accent6>
      <a:srgbClr val="00349E"/>
    </a:accent6>
    <a:hlink>
      <a:srgbClr val="17BBFD"/>
    </a:hlink>
    <a:folHlink>
      <a:srgbClr val="FF79C2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Яркая">
    <a:dk1>
      <a:sysClr val="windowText" lastClr="000000"/>
    </a:dk1>
    <a:lt1>
      <a:sysClr val="window" lastClr="FFFFFF"/>
    </a:lt1>
    <a:dk2>
      <a:srgbClr val="666666"/>
    </a:dk2>
    <a:lt2>
      <a:srgbClr val="D2D2D2"/>
    </a:lt2>
    <a:accent1>
      <a:srgbClr val="FF388C"/>
    </a:accent1>
    <a:accent2>
      <a:srgbClr val="E40059"/>
    </a:accent2>
    <a:accent3>
      <a:srgbClr val="9C007F"/>
    </a:accent3>
    <a:accent4>
      <a:srgbClr val="68007F"/>
    </a:accent4>
    <a:accent5>
      <a:srgbClr val="005BD3"/>
    </a:accent5>
    <a:accent6>
      <a:srgbClr val="00349E"/>
    </a:accent6>
    <a:hlink>
      <a:srgbClr val="17BBFD"/>
    </a:hlink>
    <a:folHlink>
      <a:srgbClr val="FF79C2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7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Стрелкова Елена Валерьевна</dc:creator>
  <cp:lastModifiedBy>Комарова Ирина Владимировна</cp:lastModifiedBy>
  <cp:revision>309</cp:revision>
  <cp:lastPrinted>2018-05-21T13:26:00Z</cp:lastPrinted>
  <dcterms:created xsi:type="dcterms:W3CDTF">2018-05-16T12:48:00Z</dcterms:created>
  <dcterms:modified xsi:type="dcterms:W3CDTF">2018-06-07T06:29:00Z</dcterms:modified>
</cp:coreProperties>
</file>